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3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一、中国农工民主党沧州市委员会本级收支预算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390.40</w:t>
            </w:r>
          </w:p>
        </w:tc>
        <w:tc>
          <w:tcPr>
            <w:tcW w:w="4535" w:type="dxa"/>
            <w:vAlign w:val="center"/>
          </w:tcPr>
          <w:p>
            <w:pPr>
              <w:pStyle w:val="13"/>
            </w:pPr>
            <w:r>
              <w:t>一、一般公共服务支出</w:t>
            </w:r>
          </w:p>
        </w:tc>
        <w:tc>
          <w:tcPr>
            <w:tcW w:w="2126" w:type="dxa"/>
            <w:vAlign w:val="center"/>
          </w:tcPr>
          <w:p>
            <w:pPr>
              <w:pStyle w:val="12"/>
            </w:pPr>
            <w:r>
              <w:t>390.40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390.40</w:t>
            </w:r>
          </w:p>
        </w:tc>
        <w:tc>
          <w:tcPr>
            <w:tcW w:w="4535" w:type="dxa"/>
            <w:vAlign w:val="center"/>
          </w:tcPr>
          <w:p>
            <w:pPr>
              <w:pStyle w:val="15"/>
            </w:pPr>
            <w:r>
              <w:t>本年支出合计</w:t>
            </w:r>
          </w:p>
        </w:tc>
        <w:tc>
          <w:tcPr>
            <w:tcW w:w="2126" w:type="dxa"/>
            <w:vAlign w:val="center"/>
          </w:tcPr>
          <w:p>
            <w:pPr>
              <w:pStyle w:val="16"/>
            </w:pPr>
            <w:r>
              <w:t>390.40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390.40</w:t>
            </w:r>
          </w:p>
        </w:tc>
        <w:tc>
          <w:tcPr>
            <w:tcW w:w="4535" w:type="dxa"/>
            <w:vAlign w:val="center"/>
          </w:tcPr>
          <w:p>
            <w:pPr>
              <w:pStyle w:val="15"/>
            </w:pPr>
            <w:r>
              <w:t>支出总计</w:t>
            </w:r>
          </w:p>
        </w:tc>
        <w:tc>
          <w:tcPr>
            <w:tcW w:w="2126" w:type="dxa"/>
            <w:vAlign w:val="center"/>
          </w:tcPr>
          <w:p>
            <w:pPr>
              <w:pStyle w:val="16"/>
            </w:pPr>
            <w:r>
              <w:t>390.40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390.40</w:t>
            </w:r>
          </w:p>
        </w:tc>
        <w:tc>
          <w:tcPr>
            <w:tcW w:w="1134" w:type="dxa"/>
            <w:vAlign w:val="center"/>
          </w:tcPr>
          <w:p>
            <w:pPr>
              <w:pStyle w:val="16"/>
            </w:pPr>
            <w:r>
              <w:t>390.40</w:t>
            </w:r>
          </w:p>
        </w:tc>
        <w:tc>
          <w:tcPr>
            <w:tcW w:w="1134" w:type="dxa"/>
            <w:vAlign w:val="center"/>
          </w:tcPr>
          <w:p>
            <w:pPr>
              <w:pStyle w:val="16"/>
            </w:pPr>
            <w:r>
              <w:t>390.40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270.40</w:t>
            </w:r>
          </w:p>
        </w:tc>
        <w:tc>
          <w:tcPr>
            <w:tcW w:w="1134" w:type="dxa"/>
            <w:vAlign w:val="center"/>
          </w:tcPr>
          <w:p>
            <w:pPr>
              <w:pStyle w:val="12"/>
            </w:pPr>
            <w:r>
              <w:t>270.40</w:t>
            </w:r>
          </w:p>
        </w:tc>
        <w:tc>
          <w:tcPr>
            <w:tcW w:w="1134" w:type="dxa"/>
            <w:vAlign w:val="center"/>
          </w:tcPr>
          <w:p>
            <w:pPr>
              <w:pStyle w:val="12"/>
            </w:pPr>
            <w:r>
              <w:t>270.40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5</w:t>
            </w:r>
          </w:p>
        </w:tc>
        <w:tc>
          <w:tcPr>
            <w:tcW w:w="992" w:type="dxa"/>
            <w:vAlign w:val="center"/>
          </w:tcPr>
          <w:p>
            <w:pPr>
              <w:pStyle w:val="13"/>
            </w:pPr>
            <w:r>
              <w:t>2012804</w:t>
            </w:r>
          </w:p>
        </w:tc>
        <w:tc>
          <w:tcPr>
            <w:tcW w:w="1559" w:type="dxa"/>
            <w:vAlign w:val="center"/>
          </w:tcPr>
          <w:p>
            <w:pPr>
              <w:pStyle w:val="13"/>
            </w:pPr>
            <w:r>
              <w:t>参政议政</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390.40</w:t>
            </w:r>
          </w:p>
        </w:tc>
        <w:tc>
          <w:tcPr>
            <w:tcW w:w="1361" w:type="dxa"/>
            <w:vAlign w:val="center"/>
          </w:tcPr>
          <w:p>
            <w:pPr>
              <w:pStyle w:val="16"/>
            </w:pPr>
            <w:r>
              <w:t>270.40</w:t>
            </w:r>
          </w:p>
        </w:tc>
        <w:tc>
          <w:tcPr>
            <w:tcW w:w="1361" w:type="dxa"/>
            <w:vAlign w:val="center"/>
          </w:tcPr>
          <w:p>
            <w:pPr>
              <w:pStyle w:val="16"/>
            </w:pPr>
            <w:r>
              <w:t>120.00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390.40</w:t>
            </w:r>
          </w:p>
        </w:tc>
        <w:tc>
          <w:tcPr>
            <w:tcW w:w="1361" w:type="dxa"/>
            <w:vAlign w:val="center"/>
          </w:tcPr>
          <w:p>
            <w:pPr>
              <w:pStyle w:val="12"/>
            </w:pPr>
            <w:r>
              <w:t>270.40</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390.40</w:t>
            </w:r>
          </w:p>
        </w:tc>
        <w:tc>
          <w:tcPr>
            <w:tcW w:w="1361" w:type="dxa"/>
            <w:vAlign w:val="center"/>
          </w:tcPr>
          <w:p>
            <w:pPr>
              <w:pStyle w:val="12"/>
            </w:pPr>
            <w:r>
              <w:t>270.40</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270.40</w:t>
            </w:r>
          </w:p>
        </w:tc>
        <w:tc>
          <w:tcPr>
            <w:tcW w:w="1361" w:type="dxa"/>
            <w:vAlign w:val="center"/>
          </w:tcPr>
          <w:p>
            <w:pPr>
              <w:pStyle w:val="12"/>
            </w:pPr>
            <w:r>
              <w:t>270.40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992" w:type="dxa"/>
            <w:vAlign w:val="center"/>
          </w:tcPr>
          <w:p>
            <w:pPr>
              <w:pStyle w:val="13"/>
            </w:pPr>
            <w:r>
              <w:t>2012804</w:t>
            </w:r>
          </w:p>
        </w:tc>
        <w:tc>
          <w:tcPr>
            <w:tcW w:w="4535" w:type="dxa"/>
            <w:vAlign w:val="center"/>
          </w:tcPr>
          <w:p>
            <w:pPr>
              <w:pStyle w:val="13"/>
            </w:pPr>
            <w:r>
              <w:t>参政议政</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390.40</w:t>
            </w:r>
          </w:p>
        </w:tc>
        <w:tc>
          <w:tcPr>
            <w:tcW w:w="3402" w:type="dxa"/>
            <w:vAlign w:val="center"/>
          </w:tcPr>
          <w:p>
            <w:pPr>
              <w:pStyle w:val="13"/>
            </w:pPr>
            <w:r>
              <w:t>一、一般公共服务支出</w:t>
            </w:r>
          </w:p>
        </w:tc>
        <w:tc>
          <w:tcPr>
            <w:tcW w:w="1474" w:type="dxa"/>
            <w:vAlign w:val="center"/>
          </w:tcPr>
          <w:p>
            <w:pPr>
              <w:pStyle w:val="12"/>
            </w:pPr>
            <w:r>
              <w:t>390.40</w:t>
            </w:r>
          </w:p>
        </w:tc>
        <w:tc>
          <w:tcPr>
            <w:tcW w:w="1474" w:type="dxa"/>
            <w:vAlign w:val="center"/>
          </w:tcPr>
          <w:p>
            <w:pPr>
              <w:pStyle w:val="12"/>
            </w:pPr>
            <w:r>
              <w:t>390.40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390.40</w:t>
            </w:r>
          </w:p>
        </w:tc>
        <w:tc>
          <w:tcPr>
            <w:tcW w:w="3402" w:type="dxa"/>
            <w:vAlign w:val="center"/>
          </w:tcPr>
          <w:p>
            <w:pPr>
              <w:pStyle w:val="15"/>
            </w:pPr>
            <w:r>
              <w:t>本年支出合计</w:t>
            </w:r>
          </w:p>
        </w:tc>
        <w:tc>
          <w:tcPr>
            <w:tcW w:w="1474" w:type="dxa"/>
            <w:vAlign w:val="center"/>
          </w:tcPr>
          <w:p>
            <w:pPr>
              <w:pStyle w:val="16"/>
            </w:pPr>
            <w:r>
              <w:t>390.40</w:t>
            </w:r>
          </w:p>
        </w:tc>
        <w:tc>
          <w:tcPr>
            <w:tcW w:w="1474" w:type="dxa"/>
            <w:vAlign w:val="center"/>
          </w:tcPr>
          <w:p>
            <w:pPr>
              <w:pStyle w:val="16"/>
            </w:pPr>
            <w:r>
              <w:t>390.40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390.40</w:t>
            </w:r>
          </w:p>
        </w:tc>
        <w:tc>
          <w:tcPr>
            <w:tcW w:w="3402" w:type="dxa"/>
            <w:vAlign w:val="center"/>
          </w:tcPr>
          <w:p>
            <w:pPr>
              <w:pStyle w:val="15"/>
            </w:pPr>
            <w:r>
              <w:t>支出总计</w:t>
            </w:r>
          </w:p>
        </w:tc>
        <w:tc>
          <w:tcPr>
            <w:tcW w:w="1474" w:type="dxa"/>
            <w:vAlign w:val="center"/>
          </w:tcPr>
          <w:p>
            <w:pPr>
              <w:pStyle w:val="16"/>
            </w:pPr>
            <w:r>
              <w:t>390.40</w:t>
            </w:r>
          </w:p>
        </w:tc>
        <w:tc>
          <w:tcPr>
            <w:tcW w:w="1474" w:type="dxa"/>
            <w:vAlign w:val="center"/>
          </w:tcPr>
          <w:p>
            <w:pPr>
              <w:pStyle w:val="16"/>
            </w:pPr>
            <w:r>
              <w:t>390.40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lang w:eastAsia="zh-CN"/>
              </w:rPr>
            </w:pPr>
            <w:r>
              <w:rPr>
                <w:rFonts w:hint="eastAsia"/>
                <w:lang w:eastAsia="zh-CN"/>
              </w:rPr>
              <w:t>390.40</w:t>
            </w:r>
          </w:p>
        </w:tc>
        <w:tc>
          <w:tcPr>
            <w:tcW w:w="2551" w:type="dxa"/>
            <w:vAlign w:val="center"/>
          </w:tcPr>
          <w:p>
            <w:pPr>
              <w:pStyle w:val="16"/>
              <w:rPr>
                <w:lang w:eastAsia="zh-CN"/>
              </w:rPr>
            </w:pPr>
            <w:r>
              <w:rPr>
                <w:rFonts w:hint="eastAsia"/>
                <w:lang w:eastAsia="zh-CN"/>
              </w:rPr>
              <w:t>270.40</w:t>
            </w:r>
          </w:p>
        </w:tc>
        <w:tc>
          <w:tcPr>
            <w:tcW w:w="2551" w:type="dxa"/>
            <w:vAlign w:val="center"/>
          </w:tcPr>
          <w:p>
            <w:pPr>
              <w:pStyle w:val="16"/>
              <w:rPr>
                <w:lang w:eastAsia="zh-CN"/>
              </w:rPr>
            </w:pPr>
            <w:r>
              <w:rPr>
                <w:rFonts w:hint="eastAsia"/>
                <w:lang w:eastAsia="zh-CN"/>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rPr>
                <w:lang w:eastAsia="zh-CN"/>
              </w:rPr>
            </w:pPr>
            <w:r>
              <w:rPr>
                <w:rFonts w:hint="eastAsia"/>
                <w:lang w:eastAsia="zh-CN"/>
              </w:rPr>
              <w:t>390.40</w:t>
            </w:r>
          </w:p>
        </w:tc>
        <w:tc>
          <w:tcPr>
            <w:tcW w:w="2551" w:type="dxa"/>
            <w:vAlign w:val="center"/>
          </w:tcPr>
          <w:p>
            <w:pPr>
              <w:pStyle w:val="12"/>
            </w:pPr>
            <w:r>
              <w:rPr>
                <w:rFonts w:hint="eastAsia"/>
                <w:lang w:eastAsia="zh-CN"/>
              </w:rPr>
              <w:t>270.40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w:t>
            </w:r>
          </w:p>
        </w:tc>
        <w:tc>
          <w:tcPr>
            <w:tcW w:w="1191" w:type="dxa"/>
            <w:vAlign w:val="center"/>
          </w:tcPr>
          <w:p>
            <w:pPr>
              <w:pStyle w:val="13"/>
              <w:rPr>
                <w:lang w:eastAsia="zh-CN"/>
              </w:rPr>
            </w:pPr>
            <w:r>
              <w:t>201</w:t>
            </w:r>
            <w:r>
              <w:rPr>
                <w:rFonts w:hint="eastAsia"/>
                <w:lang w:eastAsia="zh-CN"/>
              </w:rPr>
              <w:t>28</w:t>
            </w:r>
          </w:p>
        </w:tc>
        <w:tc>
          <w:tcPr>
            <w:tcW w:w="4535" w:type="dxa"/>
            <w:vAlign w:val="center"/>
          </w:tcPr>
          <w:p>
            <w:pPr>
              <w:pStyle w:val="13"/>
              <w:rPr>
                <w:lang w:eastAsia="zh-CN"/>
              </w:rPr>
            </w:pPr>
            <w:r>
              <w:rPr>
                <w:rFonts w:hint="eastAsia"/>
                <w:lang w:eastAsia="zh-CN"/>
              </w:rPr>
              <w:t>民主党派及工商联事务</w:t>
            </w:r>
          </w:p>
        </w:tc>
        <w:tc>
          <w:tcPr>
            <w:tcW w:w="2551" w:type="dxa"/>
            <w:vAlign w:val="center"/>
          </w:tcPr>
          <w:p>
            <w:pPr>
              <w:pStyle w:val="12"/>
            </w:pPr>
            <w:r>
              <w:rPr>
                <w:rFonts w:hint="eastAsia"/>
                <w:lang w:eastAsia="zh-CN"/>
              </w:rPr>
              <w:t>390.40</w:t>
            </w:r>
          </w:p>
        </w:tc>
        <w:tc>
          <w:tcPr>
            <w:tcW w:w="2551" w:type="dxa"/>
            <w:vAlign w:val="center"/>
          </w:tcPr>
          <w:p>
            <w:pPr>
              <w:pStyle w:val="12"/>
            </w:pPr>
            <w:r>
              <w:rPr>
                <w:rFonts w:hint="eastAsia"/>
                <w:lang w:eastAsia="zh-CN"/>
              </w:rPr>
              <w:t>270.40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1191" w:type="dxa"/>
            <w:vAlign w:val="center"/>
          </w:tcPr>
          <w:p>
            <w:pPr>
              <w:pStyle w:val="13"/>
              <w:rPr>
                <w:lang w:eastAsia="zh-CN"/>
              </w:rPr>
            </w:pPr>
            <w:r>
              <w:t>201</w:t>
            </w:r>
            <w:r>
              <w:rPr>
                <w:rFonts w:hint="eastAsia"/>
                <w:lang w:eastAsia="zh-CN"/>
              </w:rPr>
              <w:t>2801</w:t>
            </w:r>
          </w:p>
        </w:tc>
        <w:tc>
          <w:tcPr>
            <w:tcW w:w="4535" w:type="dxa"/>
            <w:vAlign w:val="center"/>
          </w:tcPr>
          <w:p>
            <w:pPr>
              <w:pStyle w:val="13"/>
            </w:pPr>
            <w:r>
              <w:t>行政运行</w:t>
            </w:r>
          </w:p>
        </w:tc>
        <w:tc>
          <w:tcPr>
            <w:tcW w:w="2551" w:type="dxa"/>
            <w:vAlign w:val="center"/>
          </w:tcPr>
          <w:p>
            <w:pPr>
              <w:pStyle w:val="12"/>
              <w:rPr>
                <w:lang w:eastAsia="zh-CN"/>
              </w:rPr>
            </w:pPr>
            <w:r>
              <w:rPr>
                <w:rFonts w:hint="eastAsia"/>
                <w:lang w:eastAsia="zh-CN"/>
              </w:rPr>
              <w:t>270.40</w:t>
            </w:r>
          </w:p>
        </w:tc>
        <w:tc>
          <w:tcPr>
            <w:tcW w:w="2551" w:type="dxa"/>
            <w:vAlign w:val="center"/>
          </w:tcPr>
          <w:p>
            <w:pPr>
              <w:pStyle w:val="12"/>
            </w:pPr>
            <w:r>
              <w:rPr>
                <w:rFonts w:hint="eastAsia"/>
                <w:lang w:eastAsia="zh-CN"/>
              </w:rPr>
              <w:t>270.40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rPr>
                <w:lang w:eastAsia="zh-CN"/>
              </w:rPr>
            </w:pPr>
            <w:r>
              <w:rPr>
                <w:rFonts w:hint="eastAsia"/>
                <w:lang w:eastAsia="zh-CN"/>
              </w:rPr>
              <w:t>5</w:t>
            </w:r>
          </w:p>
        </w:tc>
        <w:tc>
          <w:tcPr>
            <w:tcW w:w="1191" w:type="dxa"/>
            <w:vAlign w:val="center"/>
          </w:tcPr>
          <w:p>
            <w:pPr>
              <w:pStyle w:val="13"/>
              <w:rPr>
                <w:lang w:eastAsia="zh-CN"/>
              </w:rPr>
            </w:pPr>
            <w:r>
              <w:rPr>
                <w:rFonts w:hint="eastAsia"/>
                <w:lang w:eastAsia="zh-CN"/>
              </w:rPr>
              <w:t>2012804</w:t>
            </w:r>
          </w:p>
        </w:tc>
        <w:tc>
          <w:tcPr>
            <w:tcW w:w="4535" w:type="dxa"/>
            <w:vAlign w:val="center"/>
          </w:tcPr>
          <w:p>
            <w:pPr>
              <w:pStyle w:val="13"/>
              <w:rPr>
                <w:lang w:eastAsia="zh-CN"/>
              </w:rPr>
            </w:pPr>
            <w:r>
              <w:rPr>
                <w:rFonts w:hint="eastAsia"/>
                <w:lang w:eastAsia="zh-CN"/>
              </w:rPr>
              <w:t>参政议政</w:t>
            </w:r>
          </w:p>
        </w:tc>
        <w:tc>
          <w:tcPr>
            <w:tcW w:w="2551" w:type="dxa"/>
            <w:vAlign w:val="center"/>
          </w:tcPr>
          <w:p>
            <w:pPr>
              <w:pStyle w:val="12"/>
              <w:rPr>
                <w:lang w:eastAsia="zh-CN"/>
              </w:rPr>
            </w:pPr>
            <w:r>
              <w:rPr>
                <w:rFonts w:hint="eastAsia"/>
                <w:lang w:eastAsia="zh-CN"/>
              </w:rPr>
              <w:t>120.00</w:t>
            </w:r>
          </w:p>
        </w:tc>
        <w:tc>
          <w:tcPr>
            <w:tcW w:w="2551" w:type="dxa"/>
            <w:vAlign w:val="center"/>
          </w:tcPr>
          <w:p>
            <w:pPr>
              <w:pStyle w:val="12"/>
            </w:pPr>
          </w:p>
        </w:tc>
        <w:tc>
          <w:tcPr>
            <w:tcW w:w="2551" w:type="dxa"/>
            <w:vAlign w:val="center"/>
          </w:tcPr>
          <w:p>
            <w:pPr>
              <w:pStyle w:val="12"/>
              <w:rPr>
                <w:lang w:eastAsia="zh-CN"/>
              </w:rPr>
            </w:pPr>
            <w:r>
              <w:rPr>
                <w:rFonts w:hint="eastAsia"/>
                <w:lang w:eastAsia="zh-CN"/>
              </w:rPr>
              <w:t>120.00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270.40</w:t>
            </w:r>
          </w:p>
        </w:tc>
        <w:tc>
          <w:tcPr>
            <w:tcW w:w="2551" w:type="dxa"/>
            <w:vAlign w:val="center"/>
          </w:tcPr>
          <w:p>
            <w:pPr>
              <w:pStyle w:val="16"/>
            </w:pPr>
            <w:r>
              <w:t>220.75</w:t>
            </w:r>
          </w:p>
        </w:tc>
        <w:tc>
          <w:tcPr>
            <w:tcW w:w="2552" w:type="dxa"/>
            <w:vAlign w:val="center"/>
          </w:tcPr>
          <w:p>
            <w:pPr>
              <w:pStyle w:val="16"/>
            </w:pPr>
            <w:r>
              <w:t>49.65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196.50</w:t>
            </w:r>
          </w:p>
        </w:tc>
        <w:tc>
          <w:tcPr>
            <w:tcW w:w="2551" w:type="dxa"/>
            <w:vAlign w:val="center"/>
          </w:tcPr>
          <w:p>
            <w:pPr>
              <w:pStyle w:val="12"/>
            </w:pPr>
            <w:r>
              <w:t>196.50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55.46</w:t>
            </w:r>
          </w:p>
        </w:tc>
        <w:tc>
          <w:tcPr>
            <w:tcW w:w="2551" w:type="dxa"/>
            <w:vAlign w:val="center"/>
          </w:tcPr>
          <w:p>
            <w:pPr>
              <w:pStyle w:val="12"/>
            </w:pPr>
            <w:r>
              <w:t>55.46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49.26</w:t>
            </w:r>
          </w:p>
        </w:tc>
        <w:tc>
          <w:tcPr>
            <w:tcW w:w="2551" w:type="dxa"/>
            <w:vAlign w:val="center"/>
          </w:tcPr>
          <w:p>
            <w:pPr>
              <w:pStyle w:val="12"/>
            </w:pPr>
            <w:r>
              <w:t>49.26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4.93</w:t>
            </w:r>
          </w:p>
        </w:tc>
        <w:tc>
          <w:tcPr>
            <w:tcW w:w="2551" w:type="dxa"/>
            <w:vAlign w:val="center"/>
          </w:tcPr>
          <w:p>
            <w:pPr>
              <w:pStyle w:val="12"/>
            </w:pPr>
            <w:r>
              <w:t>4.93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15.75</w:t>
            </w:r>
          </w:p>
        </w:tc>
        <w:tc>
          <w:tcPr>
            <w:tcW w:w="2551" w:type="dxa"/>
            <w:vAlign w:val="center"/>
          </w:tcPr>
          <w:p>
            <w:pPr>
              <w:pStyle w:val="12"/>
            </w:pPr>
            <w:r>
              <w:t>15.75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7.29</w:t>
            </w:r>
          </w:p>
        </w:tc>
        <w:tc>
          <w:tcPr>
            <w:tcW w:w="2551" w:type="dxa"/>
            <w:vAlign w:val="center"/>
          </w:tcPr>
          <w:p>
            <w:pPr>
              <w:pStyle w:val="12"/>
            </w:pPr>
            <w:r>
              <w:t>7.29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9.38</w:t>
            </w:r>
          </w:p>
        </w:tc>
        <w:tc>
          <w:tcPr>
            <w:tcW w:w="2551" w:type="dxa"/>
            <w:vAlign w:val="center"/>
          </w:tcPr>
          <w:p>
            <w:pPr>
              <w:pStyle w:val="12"/>
            </w:pPr>
            <w:r>
              <w:t>9.38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0.61</w:t>
            </w:r>
          </w:p>
        </w:tc>
        <w:tc>
          <w:tcPr>
            <w:tcW w:w="2551" w:type="dxa"/>
            <w:vAlign w:val="center"/>
          </w:tcPr>
          <w:p>
            <w:pPr>
              <w:pStyle w:val="12"/>
            </w:pPr>
            <w:r>
              <w:t>0.61</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11.82</w:t>
            </w:r>
          </w:p>
        </w:tc>
        <w:tc>
          <w:tcPr>
            <w:tcW w:w="2551" w:type="dxa"/>
            <w:vAlign w:val="center"/>
          </w:tcPr>
          <w:p>
            <w:pPr>
              <w:pStyle w:val="12"/>
            </w:pPr>
            <w:r>
              <w:t>11.82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42.00</w:t>
            </w:r>
          </w:p>
        </w:tc>
        <w:tc>
          <w:tcPr>
            <w:tcW w:w="2551" w:type="dxa"/>
            <w:vAlign w:val="center"/>
          </w:tcPr>
          <w:p>
            <w:pPr>
              <w:pStyle w:val="12"/>
            </w:pPr>
            <w:r>
              <w:t>42.00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49.65</w:t>
            </w:r>
          </w:p>
        </w:tc>
        <w:tc>
          <w:tcPr>
            <w:tcW w:w="2551" w:type="dxa"/>
            <w:vAlign w:val="center"/>
          </w:tcPr>
          <w:p>
            <w:pPr>
              <w:pStyle w:val="12"/>
            </w:pPr>
          </w:p>
        </w:tc>
        <w:tc>
          <w:tcPr>
            <w:tcW w:w="2552" w:type="dxa"/>
            <w:vAlign w:val="center"/>
          </w:tcPr>
          <w:p>
            <w:pPr>
              <w:pStyle w:val="12"/>
            </w:pPr>
            <w:r>
              <w:t>49.65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2.06</w:t>
            </w:r>
          </w:p>
        </w:tc>
        <w:tc>
          <w:tcPr>
            <w:tcW w:w="2551" w:type="dxa"/>
            <w:vAlign w:val="center"/>
          </w:tcPr>
          <w:p>
            <w:pPr>
              <w:pStyle w:val="12"/>
            </w:pPr>
          </w:p>
        </w:tc>
        <w:tc>
          <w:tcPr>
            <w:tcW w:w="2552" w:type="dxa"/>
            <w:vAlign w:val="center"/>
          </w:tcPr>
          <w:p>
            <w:pPr>
              <w:pStyle w:val="12"/>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0.26</w:t>
            </w:r>
          </w:p>
        </w:tc>
        <w:tc>
          <w:tcPr>
            <w:tcW w:w="2551" w:type="dxa"/>
            <w:vAlign w:val="center"/>
          </w:tcPr>
          <w:p>
            <w:pPr>
              <w:pStyle w:val="12"/>
            </w:pPr>
          </w:p>
        </w:tc>
        <w:tc>
          <w:tcPr>
            <w:tcW w:w="2552" w:type="dxa"/>
            <w:vAlign w:val="center"/>
          </w:tcPr>
          <w:p>
            <w:pPr>
              <w:pStyle w:val="12"/>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0.33</w:t>
            </w:r>
          </w:p>
        </w:tc>
        <w:tc>
          <w:tcPr>
            <w:tcW w:w="2551" w:type="dxa"/>
            <w:vAlign w:val="center"/>
          </w:tcPr>
          <w:p>
            <w:pPr>
              <w:pStyle w:val="12"/>
            </w:pPr>
          </w:p>
        </w:tc>
        <w:tc>
          <w:tcPr>
            <w:tcW w:w="2552" w:type="dxa"/>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0.75</w:t>
            </w:r>
          </w:p>
        </w:tc>
        <w:tc>
          <w:tcPr>
            <w:tcW w:w="2551" w:type="dxa"/>
            <w:vAlign w:val="center"/>
          </w:tcPr>
          <w:p>
            <w:pPr>
              <w:pStyle w:val="12"/>
            </w:pPr>
          </w:p>
        </w:tc>
        <w:tc>
          <w:tcPr>
            <w:tcW w:w="2552"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6.58</w:t>
            </w:r>
          </w:p>
        </w:tc>
        <w:tc>
          <w:tcPr>
            <w:tcW w:w="2551" w:type="dxa"/>
            <w:vAlign w:val="center"/>
          </w:tcPr>
          <w:p>
            <w:pPr>
              <w:pStyle w:val="12"/>
            </w:pPr>
          </w:p>
        </w:tc>
        <w:tc>
          <w:tcPr>
            <w:tcW w:w="2552" w:type="dxa"/>
            <w:vAlign w:val="center"/>
          </w:tcPr>
          <w:p>
            <w:pPr>
              <w:pStyle w:val="12"/>
            </w:pPr>
            <w: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6.32</w:t>
            </w:r>
          </w:p>
        </w:tc>
        <w:tc>
          <w:tcPr>
            <w:tcW w:w="2551" w:type="dxa"/>
            <w:vAlign w:val="center"/>
          </w:tcPr>
          <w:p>
            <w:pPr>
              <w:pStyle w:val="12"/>
            </w:pPr>
          </w:p>
        </w:tc>
        <w:tc>
          <w:tcPr>
            <w:tcW w:w="2552" w:type="dxa"/>
            <w:vAlign w:val="center"/>
          </w:tcPr>
          <w:p>
            <w:pPr>
              <w:pStyle w:val="12"/>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2.35</w:t>
            </w:r>
          </w:p>
        </w:tc>
        <w:tc>
          <w:tcPr>
            <w:tcW w:w="2551" w:type="dxa"/>
            <w:vAlign w:val="center"/>
          </w:tcPr>
          <w:p>
            <w:pPr>
              <w:pStyle w:val="12"/>
            </w:pPr>
          </w:p>
        </w:tc>
        <w:tc>
          <w:tcPr>
            <w:tcW w:w="2552" w:type="dxa"/>
            <w:vAlign w:val="center"/>
          </w:tcPr>
          <w:p>
            <w:pPr>
              <w:pStyle w:val="12"/>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0.59</w:t>
            </w:r>
          </w:p>
        </w:tc>
        <w:tc>
          <w:tcPr>
            <w:tcW w:w="2551" w:type="dxa"/>
            <w:vAlign w:val="center"/>
          </w:tcPr>
          <w:p>
            <w:pPr>
              <w:pStyle w:val="12"/>
            </w:pPr>
          </w:p>
        </w:tc>
        <w:tc>
          <w:tcPr>
            <w:tcW w:w="2552" w:type="dxa"/>
            <w:vAlign w:val="center"/>
          </w:tcPr>
          <w:p>
            <w:pPr>
              <w:pStyle w:val="12"/>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0.83</w:t>
            </w:r>
          </w:p>
        </w:tc>
        <w:tc>
          <w:tcPr>
            <w:tcW w:w="2551" w:type="dxa"/>
            <w:vAlign w:val="center"/>
          </w:tcPr>
          <w:p>
            <w:pPr>
              <w:pStyle w:val="12"/>
            </w:pPr>
          </w:p>
        </w:tc>
        <w:tc>
          <w:tcPr>
            <w:tcW w:w="2552" w:type="dxa"/>
            <w:vAlign w:val="center"/>
          </w:tcPr>
          <w:p>
            <w:pPr>
              <w:pStyle w:val="12"/>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0.36</w:t>
            </w:r>
          </w:p>
        </w:tc>
        <w:tc>
          <w:tcPr>
            <w:tcW w:w="2551" w:type="dxa"/>
            <w:vAlign w:val="center"/>
          </w:tcPr>
          <w:p>
            <w:pPr>
              <w:pStyle w:val="12"/>
            </w:pPr>
          </w:p>
        </w:tc>
        <w:tc>
          <w:tcPr>
            <w:tcW w:w="2552"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23</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2.00</w:t>
            </w:r>
          </w:p>
        </w:tc>
        <w:tc>
          <w:tcPr>
            <w:tcW w:w="2551" w:type="dxa"/>
            <w:vAlign w:val="center"/>
          </w:tcPr>
          <w:p>
            <w:pPr>
              <w:pStyle w:val="12"/>
            </w:pPr>
          </w:p>
        </w:tc>
        <w:tc>
          <w:tcPr>
            <w:tcW w:w="2552"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1.18</w:t>
            </w:r>
          </w:p>
        </w:tc>
        <w:tc>
          <w:tcPr>
            <w:tcW w:w="2551" w:type="dxa"/>
            <w:vAlign w:val="center"/>
          </w:tcPr>
          <w:p>
            <w:pPr>
              <w:pStyle w:val="12"/>
            </w:pPr>
          </w:p>
        </w:tc>
        <w:tc>
          <w:tcPr>
            <w:tcW w:w="2552" w:type="dxa"/>
            <w:vAlign w:val="center"/>
          </w:tcPr>
          <w:p>
            <w:pPr>
              <w:pStyle w:val="12"/>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1.25</w:t>
            </w:r>
          </w:p>
        </w:tc>
        <w:tc>
          <w:tcPr>
            <w:tcW w:w="2551" w:type="dxa"/>
            <w:vAlign w:val="center"/>
          </w:tcPr>
          <w:p>
            <w:pPr>
              <w:pStyle w:val="12"/>
            </w:pPr>
          </w:p>
        </w:tc>
        <w:tc>
          <w:tcPr>
            <w:tcW w:w="2552"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9.68</w:t>
            </w:r>
          </w:p>
        </w:tc>
        <w:tc>
          <w:tcPr>
            <w:tcW w:w="2551" w:type="dxa"/>
            <w:vAlign w:val="center"/>
          </w:tcPr>
          <w:p>
            <w:pPr>
              <w:pStyle w:val="12"/>
            </w:pPr>
          </w:p>
        </w:tc>
        <w:tc>
          <w:tcPr>
            <w:tcW w:w="2552" w:type="dxa"/>
            <w:vAlign w:val="center"/>
          </w:tcPr>
          <w:p>
            <w:pPr>
              <w:pStyle w:val="12"/>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8.64</w:t>
            </w:r>
          </w:p>
        </w:tc>
        <w:tc>
          <w:tcPr>
            <w:tcW w:w="2551" w:type="dxa"/>
            <w:vAlign w:val="center"/>
          </w:tcPr>
          <w:p>
            <w:pPr>
              <w:pStyle w:val="12"/>
            </w:pPr>
          </w:p>
        </w:tc>
        <w:tc>
          <w:tcPr>
            <w:tcW w:w="2552" w:type="dxa"/>
            <w:vAlign w:val="center"/>
          </w:tcPr>
          <w:p>
            <w:pPr>
              <w:pStyle w:val="12"/>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6.47</w:t>
            </w:r>
          </w:p>
        </w:tc>
        <w:tc>
          <w:tcPr>
            <w:tcW w:w="2551" w:type="dxa"/>
            <w:vAlign w:val="center"/>
          </w:tcPr>
          <w:p>
            <w:pPr>
              <w:pStyle w:val="12"/>
            </w:pPr>
          </w:p>
        </w:tc>
        <w:tc>
          <w:tcPr>
            <w:tcW w:w="2552" w:type="dxa"/>
            <w:vAlign w:val="center"/>
          </w:tcPr>
          <w:p>
            <w:pPr>
              <w:pStyle w:val="12"/>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24.25</w:t>
            </w:r>
          </w:p>
        </w:tc>
        <w:tc>
          <w:tcPr>
            <w:tcW w:w="2551" w:type="dxa"/>
            <w:vAlign w:val="center"/>
          </w:tcPr>
          <w:p>
            <w:pPr>
              <w:pStyle w:val="12"/>
            </w:pPr>
            <w:r>
              <w:t>24.25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8.23</w:t>
            </w:r>
          </w:p>
        </w:tc>
        <w:tc>
          <w:tcPr>
            <w:tcW w:w="2551" w:type="dxa"/>
            <w:vAlign w:val="center"/>
          </w:tcPr>
          <w:p>
            <w:pPr>
              <w:pStyle w:val="12"/>
            </w:pPr>
            <w:r>
              <w:t>8.23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32</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16.00</w:t>
            </w:r>
          </w:p>
        </w:tc>
        <w:tc>
          <w:tcPr>
            <w:tcW w:w="2551" w:type="dxa"/>
            <w:vAlign w:val="center"/>
          </w:tcPr>
          <w:p>
            <w:pPr>
              <w:pStyle w:val="12"/>
            </w:pPr>
            <w:r>
              <w:t>16.00</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rPr>
                <w:rFonts w:hint="eastAsia" w:eastAsiaTheme="minorEastAsia"/>
                <w:lang w:eastAsia="zh-CN"/>
              </w:rPr>
            </w:pPr>
          </w:p>
        </w:tc>
        <w:tc>
          <w:tcPr>
            <w:tcW w:w="3798" w:type="dxa"/>
            <w:vAlign w:val="center"/>
          </w:tcPr>
          <w:p>
            <w:pPr>
              <w:pStyle w:val="13"/>
              <w:rPr>
                <w:b/>
              </w:rPr>
            </w:pPr>
            <w:r>
              <w:rPr>
                <w:b/>
              </w:rPr>
              <w:t>合计</w:t>
            </w:r>
          </w:p>
        </w:tc>
        <w:tc>
          <w:tcPr>
            <w:tcW w:w="2382"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rPr>
                <w:b/>
              </w:rPr>
            </w:pPr>
            <w:r>
              <w:rPr>
                <w:rFonts w:hint="eastAsia" w:asciiTheme="minorEastAsia" w:hAnsiTheme="minorEastAsia" w:eastAsiaTheme="minorEastAsia"/>
                <w:b/>
                <w:lang w:eastAsia="zh-CN"/>
              </w:rPr>
              <w:t>“三公”经费小计</w:t>
            </w:r>
          </w:p>
        </w:tc>
        <w:tc>
          <w:tcPr>
            <w:tcW w:w="2382"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pPr>
            <w:r>
              <w:t>一</w:t>
            </w:r>
            <w:r>
              <w:rPr>
                <w:rFonts w:hint="eastAsia" w:asciiTheme="minorEastAsia" w:hAnsiTheme="minorEastAsia" w:eastAsiaTheme="minorEastAsia"/>
                <w:lang w:eastAsia="zh-CN"/>
              </w:rPr>
              <w:t>、</w:t>
            </w:r>
            <w:r>
              <w:t>因公出国</w:t>
            </w:r>
            <w:r>
              <w:rPr>
                <w:rFonts w:hint="eastAsia" w:asciiTheme="minorEastAsia" w:hAnsiTheme="minorEastAsia" w:eastAsiaTheme="minorEastAsia"/>
                <w:lang w:eastAsia="zh-CN"/>
              </w:rPr>
              <w:t>（镜）费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pPr>
            <w:r>
              <w:t>二</w:t>
            </w:r>
            <w:r>
              <w:rPr>
                <w:rFonts w:hint="eastAsia" w:asciiTheme="minorEastAsia" w:hAnsiTheme="minorEastAsia" w:eastAsiaTheme="minorEastAsia"/>
                <w:lang w:eastAsia="zh-CN"/>
              </w:rPr>
              <w:t>、</w:t>
            </w:r>
            <w:r>
              <w:t>公务用车购置及运维费</w:t>
            </w:r>
          </w:p>
        </w:tc>
        <w:tc>
          <w:tcPr>
            <w:tcW w:w="2382"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rPr>
                <w:rFonts w:hint="eastAsia" w:eastAsiaTheme="minorEastAsia"/>
                <w:lang w:eastAsia="zh-CN"/>
              </w:rPr>
            </w:pPr>
            <w:r>
              <w:t>其中</w:t>
            </w:r>
            <w:r>
              <w:rPr>
                <w:rFonts w:hint="eastAsia" w:asciiTheme="minorEastAsia" w:hAnsiTheme="minorEastAsia" w:eastAsiaTheme="minorEastAsia"/>
                <w:lang w:eastAsia="zh-CN"/>
              </w:rPr>
              <w:t>：</w:t>
            </w:r>
            <w:r>
              <w:t>公务用车购置</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rPr>
                <w:rFonts w:hint="eastAsia" w:eastAsiaTheme="minorEastAsia"/>
                <w:lang w:eastAsia="zh-CN"/>
              </w:rPr>
            </w:pPr>
            <w:r>
              <w:rPr>
                <w:rFonts w:hint="eastAsia" w:eastAsiaTheme="minorEastAsia"/>
                <w:lang w:eastAsia="zh-CN"/>
              </w:rPr>
              <w:t xml:space="preserve">       公务用车运行维护费</w:t>
            </w:r>
          </w:p>
        </w:tc>
        <w:tc>
          <w:tcPr>
            <w:tcW w:w="2382"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rPr>
                <w:rFonts w:hint="eastAsia" w:eastAsiaTheme="minorEastAsia"/>
                <w:lang w:eastAsia="zh-CN"/>
              </w:rPr>
            </w:pPr>
            <w:r>
              <w:t>三</w:t>
            </w:r>
            <w:r>
              <w:rPr>
                <w:rFonts w:hint="eastAsia" w:asciiTheme="minorEastAsia" w:hAnsiTheme="minorEastAsia" w:eastAsiaTheme="minorEastAsia"/>
                <w:lang w:eastAsia="zh-CN"/>
              </w:rPr>
              <w:t>、</w:t>
            </w:r>
            <w:r>
              <w:t>公务接待费</w:t>
            </w:r>
          </w:p>
        </w:tc>
        <w:tc>
          <w:tcPr>
            <w:tcW w:w="2382" w:type="dxa"/>
            <w:vAlign w:val="center"/>
          </w:tcPr>
          <w:p>
            <w:pPr>
              <w:pStyle w:val="12"/>
              <w:rPr>
                <w:rFonts w:hint="eastAsia" w:eastAsiaTheme="minorEastAsia"/>
                <w:lang w:eastAsia="zh-CN"/>
              </w:rPr>
            </w:pPr>
            <w:r>
              <w:rPr>
                <w:rFonts w:hint="eastAsia" w:eastAsiaTheme="minorEastAsia"/>
                <w:lang w:eastAsia="zh-CN"/>
              </w:rPr>
              <w:t>0.36</w:t>
            </w:r>
          </w:p>
        </w:tc>
        <w:tc>
          <w:tcPr>
            <w:tcW w:w="2381" w:type="dxa"/>
            <w:vAlign w:val="center"/>
          </w:tcPr>
          <w:p>
            <w:pPr>
              <w:pStyle w:val="12"/>
              <w:rPr>
                <w:rFonts w:hint="eastAsia" w:eastAsiaTheme="minorEastAsia"/>
                <w:lang w:eastAsia="zh-CN"/>
              </w:rPr>
            </w:pPr>
            <w:r>
              <w:rPr>
                <w:rFonts w:hint="eastAsia" w:eastAsiaTheme="minorEastAsia"/>
                <w:lang w:eastAsia="zh-CN"/>
              </w:rPr>
              <w:t>0.36</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中国农工民主党沧州市委员会2022年部门预算信息公开情况说明</w:t>
      </w:r>
    </w:p>
    <w:p>
      <w:pPr>
        <w:jc w:val="center"/>
      </w:pPr>
      <w:r>
        <w:rPr>
          <w:rFonts w:ascii="方正小标宋_GBK" w:hAnsi="方正小标宋_GBK" w:eastAsia="方正小标宋_GBK" w:cs="方正小标宋_GBK"/>
          <w:color w:val="000000"/>
          <w:sz w:val="44"/>
        </w:rPr>
        <w:t>中国农工民主党沧州市委员会2022年部门预算信息公开情况说明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按照《预算法》、《地方预决算公开操作规程》和《关于进一步推进预算公开工作的实施意见》规定，现将中国农工民主党沧州市委员会2022年部门预算公开如下：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沧州市民主党派办公室包含四个民主党派，其中有：民革沧州市委员会、民盟沧州市委员会、农工党沧州市委员会、九三学社沧州市委员会。</w:t>
      </w:r>
    </w:p>
    <w:p>
      <w:pPr>
        <w:pStyle w:val="18"/>
      </w:pPr>
      <w:r>
        <w:t>民革沧州市委员会职责：负责机关内外的联系和综合协调工作，保证机关业务和行政工作的正常运转；负责各种重要文件、工作报告、工作总结的起草工作；负责办理民革沧州市委员会决定、决议的落实及交办的日常工作。</w:t>
      </w:r>
    </w:p>
    <w:p>
      <w:pPr>
        <w:pStyle w:val="18"/>
      </w:pPr>
      <w:r>
        <w:t>民盟沧州市委员会职责：负责机关内外的联系和综合协调工作，保证机关业务和行政工作的正常运转；负责各种重要文件、工作报告、工作总结的起草工作；负责办理民盟沧州市委员会决定、决议的落实及交办的日常工作。</w:t>
      </w:r>
    </w:p>
    <w:p>
      <w:pPr>
        <w:pStyle w:val="18"/>
      </w:pPr>
      <w:r>
        <w:t>农工党沧州市委员会职责：负责机关内外的联系和综合协调工作，保证机关业务和行政工作的正常运转；负责各种重要文件、工作报告、工作总结的起草工作；负责办理农工民主党沧州市委员会决定、决议的落实及交办的日常工作。</w:t>
      </w:r>
    </w:p>
    <w:p>
      <w:pPr>
        <w:pStyle w:val="18"/>
      </w:pPr>
      <w:r>
        <w:t>九三学社沧州市委员会职责：负责机关内外的联系和综合协调工作，保证机关业务和行政工作的正常运转；负责各种重要文件、工作报告、工作总结的起草工作；负责办理九三学社沧州市委员会决定、决议的落实及交办的日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3"/>
            </w:pPr>
            <w:r>
              <w:t>中国农工民主党沧州市委员会本级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9"/>
        <w:rPr>
          <w:rFonts w:hint="eastAsia" w:eastAsiaTheme="minorEastAsia"/>
          <w:lang w:eastAsia="zh-CN"/>
        </w:rPr>
      </w:pPr>
      <w:r>
        <w:t>按照预算管理有关规定，目前我</w:t>
      </w:r>
      <w:r>
        <w:rPr>
          <w:rFonts w:hint="eastAsia"/>
          <w:lang w:eastAsia="zh-CN"/>
        </w:rPr>
        <w:t>市</w:t>
      </w:r>
      <w:r>
        <w:t>部门预算的编制实行综合预算管理，即全部收入和支出都反映在预算中。</w:t>
      </w:r>
    </w:p>
    <w:p>
      <w:pPr>
        <w:pStyle w:val="19"/>
      </w:pPr>
      <w:r>
        <w:t>1、收入说明</w:t>
      </w:r>
    </w:p>
    <w:p>
      <w:pPr>
        <w:pStyle w:val="19"/>
      </w:pPr>
      <w:r>
        <w:t>反映本部门当年全部收入。2022年预算收入390.40万元，其中：一般公共预算收入390.40万元，基金预算收入0万元，国有资本经营预算收入0万元，财政专户核拨收入0万元，单位资金收入390.40万元，上年结转0万元。</w:t>
      </w:r>
    </w:p>
    <w:p>
      <w:pPr>
        <w:pStyle w:val="19"/>
      </w:pPr>
      <w:r>
        <w:t>2、支出说明</w:t>
      </w:r>
    </w:p>
    <w:p>
      <w:pPr>
        <w:pStyle w:val="19"/>
      </w:pPr>
      <w:r>
        <w:t>收支预算总表支出栏、基本支出表、项目支出表按经济分类和支出功能分类科目编制，反映中国农工民主党沧州市委员会年度部门预算中支出预算的总体情况。2022年支出预算为390.40万元，其中基本支出270.40万元，包括人员经费220.75万元和日常公用经费49.65万元；项目支出120万元，主要为参政议政专项经费支出120万元。</w:t>
      </w:r>
    </w:p>
    <w:p>
      <w:pPr>
        <w:pStyle w:val="19"/>
      </w:pPr>
      <w:r>
        <w:t>3、比上年增减情况</w:t>
      </w:r>
    </w:p>
    <w:p>
      <w:pPr>
        <w:pStyle w:val="19"/>
      </w:pPr>
      <w:r>
        <w:t>2022年预算收支安排390.40万元，较2021年预算增加42.64万元，其中：基本支出增加42.64万元，主要是增加人员经费支出29万元，公用经费增加13.64万元；项目支出增加0万元，</w:t>
      </w:r>
      <w:r>
        <w:rPr>
          <w:rFonts w:hint="eastAsia" w:asciiTheme="minorEastAsia" w:hAnsiTheme="minorEastAsia" w:eastAsiaTheme="minorEastAsia"/>
          <w:lang w:eastAsia="zh-CN"/>
        </w:rPr>
        <w:t>无增减变化</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0"/>
      </w:pPr>
      <w:r>
        <w:t>2022年，我部门运行经费共计安排</w:t>
      </w:r>
      <w:r>
        <w:rPr>
          <w:rFonts w:hint="eastAsia" w:asciiTheme="minorEastAsia" w:hAnsiTheme="minorEastAsia" w:eastAsiaTheme="minorEastAsia"/>
          <w:lang w:eastAsia="zh-CN"/>
        </w:rPr>
        <w:t>49.65</w:t>
      </w:r>
      <w:r>
        <w:t>万元，主要用于日常维修、办公用房水电费、办公用房取暖费、办公用房物业费管理等日常运行支出。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2022年，我部门财政拨款“三公”经费预算安排10.04万元，其中因公出国（境）费0万元；公务用车购置及运维费9.68万元（其中：公务用车购置费为0万元，公务用车运维费9.68万元）；公务接待费0.6万元。与2021年相比减少0.07万元，减少的主要原因是</w:t>
      </w:r>
      <w:r>
        <w:rPr>
          <w:rFonts w:hint="eastAsia"/>
          <w:lang w:eastAsia="zh-CN"/>
        </w:rPr>
        <w:t>由于差旅费标准调整，间接导致</w:t>
      </w:r>
      <w:r>
        <w:t>公务接待费减少0.07万元。</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2"/>
      </w:pPr>
      <w:r>
        <w:t>2022年我市深入学习贯彻落实中共党的精神，加快建设创新驱动经济强市，建设美丽宜居新沧州。我市各民主党派将以新时代中国特色社会主义理论为指导，在中共沧州市委领导下，围绕中心，服务大局，履行职责，积极助力推进沧州各项经济社会健康快速发展，为本市经济发展、改革开放、社会进步贡献我们新的力量。</w:t>
      </w:r>
    </w:p>
    <w:p>
      <w:pPr>
        <w:spacing w:line="500" w:lineRule="exact"/>
        <w:ind w:firstLine="560"/>
      </w:pPr>
      <w:r>
        <w:rPr>
          <w:rFonts w:eastAsia="方正仿宋_GBK"/>
          <w:color w:val="000000"/>
          <w:sz w:val="28"/>
        </w:rPr>
        <w:t>（二）分项绩效目标</w:t>
      </w:r>
    </w:p>
    <w:p>
      <w:pPr>
        <w:pStyle w:val="23"/>
      </w:pPr>
      <w:r>
        <w:t>一、职责：民革事务。</w:t>
      </w:r>
    </w:p>
    <w:p>
      <w:pPr>
        <w:pStyle w:val="23"/>
      </w:pPr>
      <w:r>
        <w:t>内容描述：参政议政和经济联络等事项。贯彻民革中央组织建设工作方针，指导全市各级组织的建设，维护会员合法权益等工作。 1、参政议政：组织开展调研，向市政协提交大会发言和集体提案，反映社情民意，与市政府对口单位紧密联系。2、经济联络：开展扶贫支边、办学服务，协调安排赴台考察，联络、接待台商、台资企业调研，为经济建设服务。3、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完成参政议政、经济联络与社会服务等事项。完成民革中央组织建设工作方针，指导全市各级组织的建设，维护会员合法权益等工作。对党内重大活动和典型人物进行宣传。1、提升参政议政水平，为国家治理和社会发展建言献策。2、打造社会服务品牌，致力边远地区脱贫致富，推进新农村建设和社会发展；增进经济交流，为全市经济建设、社会发展服务。3、建设参政议政队伍，促进参政议政工作制度化、规范化和程序化，调动基层组织和广大党员的积极性，增强组织凝聚力。对党内重大活动和典型人物进行宣传。</w:t>
      </w:r>
    </w:p>
    <w:p>
      <w:pPr>
        <w:pStyle w:val="23"/>
      </w:pPr>
      <w:r>
        <w:t>二、职责：民盟事务。</w:t>
      </w:r>
    </w:p>
    <w:p>
      <w:pPr>
        <w:pStyle w:val="23"/>
      </w:pPr>
      <w:r>
        <w:t>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参政议政和社会服务等事项。贯彻民盟中央组织建设工作方针，指导全市各级组织的建设，维护盟员合法权益等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三、职责：民建事务。</w:t>
      </w:r>
    </w:p>
    <w:p>
      <w:pPr>
        <w:pStyle w:val="23"/>
      </w:pPr>
      <w:r>
        <w:t>内容描述：参政议政和社会服务等事项。贯彻民盟中央组织建设工作方针，指导全市各级组织的建设，维护盟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增强组织凝聚力和社会影响力，提升参政议政水平，帮助弱势群体，助力经济发展。建设参政议政队伍，促进参政议政工作制度化、规范化和程序化，调动基层组织和广大会员的积极性，增强组织凝聚力；发挥宣传教育阵地作用，增强广大会员和人民群众对中国特色社会主义的道路自信、理论自信、制度自信。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四、职责：民主促进会事务。</w:t>
      </w:r>
    </w:p>
    <w:p>
      <w:pPr>
        <w:pStyle w:val="23"/>
      </w:pPr>
      <w:r>
        <w:t>内容描述：参政议政和经济联络等事项。贯彻民革中央组织建设工作方针，指导全市各级组织的建设，维护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增强组织凝聚力和社会影响力，提升参政议政水平，帮助弱势群体，助力经济发展。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五、职责：农工党事务。</w:t>
      </w:r>
    </w:p>
    <w:p>
      <w:pPr>
        <w:pStyle w:val="23"/>
      </w:pPr>
      <w:r>
        <w:t>内容描述：参政议政、组织建设及宣传教育、社会服务等事项。贯彻农工党中央组织建设工作方针，指导全市各级组织的建设，维护党员合法权益等工作。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增强组织凝聚力和社会影响力，提升参政议政水平，帮助弱势群体，助力经济发展。贯彻农工党中央组织建设工作方针，指导全市各级组织的建设，维护党员合法权益，开展政治理论和时事政策的学习教育活动，组织换届、后备干部培养和干部培训、基层建设工作，对党内重大活动和典型人物进行宣传。1、提升参政议政水平，为国家治理和社会发展建言献策。2、建设参政议政队伍，促进参政议政工作制度化、规范化和程序化，调动基层组织和广大党员的积极性，增强组织凝聚力。对党内重大活动和典型人物进行宣传。</w:t>
      </w:r>
    </w:p>
    <w:p>
      <w:pPr>
        <w:pStyle w:val="23"/>
      </w:pPr>
      <w:r>
        <w:t>六、职责：九三学社事务。</w:t>
      </w:r>
    </w:p>
    <w:p>
      <w:pPr>
        <w:pStyle w:val="23"/>
      </w:pPr>
      <w:r>
        <w:t>内容描述：九三学社事务。1、参政议政：组织开展调研，向市政协提交大会发言和集体提案，反映社情民意，与市政府对口单位紧密联系。2、组织建设及宣传教育：贯彻民革中央组织建设工作方针，指导全市各级组织的建设，维护民革党员合法权益，开展政治理论和时事政策的学习教育活动，组织换届、后备干部培养和干部培训、基层建设工作，对党内重大活动和典型人物进行宣传。</w:t>
      </w:r>
    </w:p>
    <w:p>
      <w:pPr>
        <w:pStyle w:val="23"/>
      </w:pPr>
      <w:r>
        <w:t>绩效目标：贯彻社中央组织建设工作方针，指导全省各级组织的建设，维护社员合法权益，开展政治理论和时事政策的学习教育活动，组织换届、后备干部培养和干部培训、基层建设工作，对重大社务活动和典型人物进行宣传。搞好科技咨询服务，为成员及社外有关人士参加的科技开发做好联络、组织协调工作；负责组织开展为老少边贫地区脱贫致富服务工作。1、提升参政议政水平，为国家治理和社会发展建言献策。2、建设参政议政队伍，促进参政议政工作制度化、规范化和程序化，调动基层组织和广大党员的积极性，增强组织凝聚力。对党内重大活动和典型人物进行宣传。</w:t>
      </w:r>
    </w:p>
    <w:p>
      <w:pPr>
        <w:spacing w:line="500" w:lineRule="exact"/>
        <w:ind w:firstLine="560"/>
      </w:pPr>
      <w:r>
        <w:rPr>
          <w:rFonts w:eastAsia="方正仿宋_GBK"/>
          <w:color w:val="000000"/>
          <w:sz w:val="28"/>
        </w:rPr>
        <w:t>（三）工作保障措施</w:t>
      </w:r>
    </w:p>
    <w:p>
      <w:pPr>
        <w:pStyle w:val="24"/>
      </w:pPr>
      <w:r>
        <w:t>组织开展调研向市政协全会提交大会发言和集体提案，反映社情民意，与市政府对口单位紧密联系。搞好社会服务工作，为成员及有关人士参建的社会服务工作做好联系、组织协调工作；负责组织开展为老少边贫地区脱贫致富的服务工作。贯彻中共中央组织建设工作方针，指导全市各级组织的建设，维护成员合法权益。组织换届、后备干部培养和干部培训、基层建设工作。学习贯彻中共中央方针政策开展政治理论和时事政策的学习教育活动，维护好网站建设，对重大活动和典型人物进行宣传。</w:t>
      </w: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ind w:firstLine="560" w:firstLineChars="200"/>
        <w:rPr>
          <w:rFonts w:eastAsia="方正仿宋_GBK"/>
          <w:sz w:val="28"/>
          <w:lang w:eastAsia="zh-CN"/>
        </w:rPr>
        <w:sectPr>
          <w:pgSz w:w="16840" w:h="11900" w:orient="landscape"/>
          <w:pgMar w:top="1361" w:right="1020" w:bottom="1361" w:left="1020" w:header="720" w:footer="720" w:gutter="0"/>
          <w:cols w:space="720" w:num="1"/>
        </w:sectPr>
      </w:pPr>
      <w:r>
        <w:rPr>
          <w:rFonts w:hint="eastAsia" w:eastAsia="方正仿宋_GBK"/>
          <w:sz w:val="28"/>
          <w:lang w:eastAsia="zh-CN"/>
        </w:rPr>
        <w:t>无</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1、2022年度九三学社参政议政经费绩效目标表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2835" w:type="dxa"/>
            <w:vAlign w:val="center"/>
          </w:tcPr>
          <w:p>
            <w:pPr>
              <w:pStyle w:val="13"/>
            </w:pPr>
            <w:r>
              <w:t>组织主题宣传活动场次</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2835" w:type="dxa"/>
            <w:vAlign w:val="center"/>
          </w:tcPr>
          <w:p>
            <w:pPr>
              <w:pStyle w:val="13"/>
            </w:pPr>
            <w:r>
              <w:t>任务完成及时率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采购成本控制率</w:t>
            </w:r>
          </w:p>
        </w:tc>
        <w:tc>
          <w:tcPr>
            <w:tcW w:w="2835" w:type="dxa"/>
            <w:vAlign w:val="center"/>
          </w:tcPr>
          <w:p>
            <w:pPr>
              <w:pStyle w:val="13"/>
            </w:pPr>
            <w:r>
              <w:t>采购成本控制率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投诉意见条数</w:t>
            </w:r>
          </w:p>
        </w:tc>
        <w:tc>
          <w:tcPr>
            <w:tcW w:w="2835" w:type="dxa"/>
            <w:vAlign w:val="center"/>
          </w:tcPr>
          <w:p>
            <w:pPr>
              <w:pStyle w:val="13"/>
            </w:pPr>
            <w:r>
              <w:t>投诉意见条数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2、2022年度民革参政议政经费绩效目标表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组织开展网络宣传活动次数</w:t>
            </w:r>
          </w:p>
        </w:tc>
        <w:tc>
          <w:tcPr>
            <w:tcW w:w="2835" w:type="dxa"/>
            <w:vAlign w:val="center"/>
          </w:tcPr>
          <w:p>
            <w:pPr>
              <w:pStyle w:val="13"/>
            </w:pPr>
            <w:r>
              <w:t>组织开展网络宣传活动次数</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采购设备按时完成率</w:t>
            </w:r>
          </w:p>
        </w:tc>
        <w:tc>
          <w:tcPr>
            <w:tcW w:w="2835" w:type="dxa"/>
            <w:vAlign w:val="center"/>
          </w:tcPr>
          <w:p>
            <w:pPr>
              <w:pStyle w:val="13"/>
            </w:pPr>
            <w:r>
              <w:t>采购设备按时完成率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采购设备成本降低率</w:t>
            </w:r>
          </w:p>
        </w:tc>
        <w:tc>
          <w:tcPr>
            <w:tcW w:w="2835" w:type="dxa"/>
            <w:vAlign w:val="center"/>
          </w:tcPr>
          <w:p>
            <w:pPr>
              <w:pStyle w:val="13"/>
            </w:pPr>
            <w:r>
              <w:t>采购设备成本降低率</w:t>
            </w:r>
          </w:p>
        </w:tc>
        <w:tc>
          <w:tcPr>
            <w:tcW w:w="2551" w:type="dxa"/>
            <w:vAlign w:val="center"/>
          </w:tcPr>
          <w:p>
            <w:pPr>
              <w:pStyle w:val="13"/>
            </w:pPr>
            <w:r>
              <w:t>≥20%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服务对象书面投诉数</w:t>
            </w:r>
          </w:p>
        </w:tc>
        <w:tc>
          <w:tcPr>
            <w:tcW w:w="2835" w:type="dxa"/>
            <w:vAlign w:val="center"/>
          </w:tcPr>
          <w:p>
            <w:pPr>
              <w:pStyle w:val="13"/>
            </w:pPr>
            <w:r>
              <w:t>服务对象书面投诉数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3、2022年度民盟参政议政经费绩效目标表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组织宣传活动次数（次）</w:t>
            </w:r>
          </w:p>
        </w:tc>
        <w:tc>
          <w:tcPr>
            <w:tcW w:w="2835" w:type="dxa"/>
            <w:vAlign w:val="center"/>
          </w:tcPr>
          <w:p>
            <w:pPr>
              <w:pStyle w:val="13"/>
            </w:pPr>
            <w:r>
              <w:t>组织宣传活动次数（次）</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各项任务完成及时率（%）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采购成本控制率</w:t>
            </w:r>
          </w:p>
        </w:tc>
        <w:tc>
          <w:tcPr>
            <w:tcW w:w="2835" w:type="dxa"/>
            <w:vAlign w:val="center"/>
          </w:tcPr>
          <w:p>
            <w:pPr>
              <w:pStyle w:val="13"/>
            </w:pPr>
            <w:r>
              <w:t>采购成本控制率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投诉意见条数</w:t>
            </w:r>
          </w:p>
        </w:tc>
        <w:tc>
          <w:tcPr>
            <w:tcW w:w="2835" w:type="dxa"/>
            <w:vAlign w:val="center"/>
          </w:tcPr>
          <w:p>
            <w:pPr>
              <w:pStyle w:val="13"/>
            </w:pPr>
            <w:r>
              <w:t>投诉意见条数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4、2022年度农工党参政议政经费绩效目标表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2835" w:type="dxa"/>
            <w:vAlign w:val="center"/>
          </w:tcPr>
          <w:p>
            <w:pPr>
              <w:pStyle w:val="13"/>
            </w:pPr>
            <w:r>
              <w:t>组织主题宣传活动场次</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2835" w:type="dxa"/>
            <w:vAlign w:val="center"/>
          </w:tcPr>
          <w:p>
            <w:pPr>
              <w:pStyle w:val="13"/>
            </w:pPr>
            <w:r>
              <w:t>任务完成及时率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采购成本控制率</w:t>
            </w:r>
          </w:p>
        </w:tc>
        <w:tc>
          <w:tcPr>
            <w:tcW w:w="2835" w:type="dxa"/>
            <w:vAlign w:val="center"/>
          </w:tcPr>
          <w:p>
            <w:pPr>
              <w:pStyle w:val="13"/>
            </w:pPr>
            <w:r>
              <w:t>采购成本控制率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投诉意见条数</w:t>
            </w:r>
          </w:p>
        </w:tc>
        <w:tc>
          <w:tcPr>
            <w:tcW w:w="2835" w:type="dxa"/>
            <w:vAlign w:val="center"/>
          </w:tcPr>
          <w:p>
            <w:pPr>
              <w:pStyle w:val="13"/>
            </w:pPr>
            <w:r>
              <w:t>投诉意见条数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2022年，中国农工民主党沧州市委员会安排政府采购预算0.00万元。具体内容见下表。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中国农工民主党沧州市委员会（含所属单位）上年末固定资产金额为</w:t>
      </w:r>
      <w:r>
        <w:rPr>
          <w:rFonts w:hint="eastAsia" w:eastAsiaTheme="minorEastAsia"/>
          <w:color w:val="000000"/>
          <w:sz w:val="28"/>
          <w:lang w:eastAsia="zh-CN"/>
        </w:rPr>
        <w:t>84.5</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rPr>
                <w:rFonts w:hint="eastAsia" w:eastAsiaTheme="minorEastAsia"/>
                <w:lang w:eastAsia="zh-CN"/>
              </w:rPr>
            </w:pPr>
            <w:r>
              <w:rPr>
                <w:rFonts w:hint="eastAsia" w:eastAsiaTheme="minorEastAsia"/>
                <w:lang w:eastAsia="zh-CN"/>
              </w:rPr>
              <w:t>84.5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rPr>
                <w:rFonts w:hint="eastAsia" w:eastAsiaTheme="minorEastAsia"/>
                <w:lang w:eastAsia="zh-CN"/>
              </w:rPr>
            </w:pPr>
            <w:r>
              <w:rPr>
                <w:rFonts w:hint="eastAsia" w:eastAsiaTheme="minorEastAsia"/>
                <w:lang w:eastAsia="zh-CN"/>
              </w:rPr>
              <w:t>4</w:t>
            </w:r>
          </w:p>
        </w:tc>
        <w:tc>
          <w:tcPr>
            <w:tcW w:w="2835" w:type="dxa"/>
            <w:vAlign w:val="center"/>
          </w:tcPr>
          <w:p>
            <w:pPr>
              <w:pStyle w:val="12"/>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7.66</w:t>
            </w:r>
          </w:p>
        </w:tc>
      </w:tr>
    </w:tbl>
    <w:p>
      <w:pPr>
        <w:ind w:firstLine="420"/>
      </w:pP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一、中国农工民主党沧州市委员会本级收支预算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390.40</w:t>
            </w:r>
          </w:p>
        </w:tc>
        <w:tc>
          <w:tcPr>
            <w:tcW w:w="4535" w:type="dxa"/>
            <w:vAlign w:val="center"/>
          </w:tcPr>
          <w:p>
            <w:pPr>
              <w:pStyle w:val="13"/>
            </w:pPr>
            <w:r>
              <w:t>一、一般公共服务支出</w:t>
            </w:r>
          </w:p>
        </w:tc>
        <w:tc>
          <w:tcPr>
            <w:tcW w:w="2126" w:type="dxa"/>
            <w:vAlign w:val="center"/>
          </w:tcPr>
          <w:p>
            <w:pPr>
              <w:pStyle w:val="12"/>
            </w:pPr>
            <w:r>
              <w:t>390.40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390.40</w:t>
            </w:r>
          </w:p>
        </w:tc>
        <w:tc>
          <w:tcPr>
            <w:tcW w:w="4535" w:type="dxa"/>
            <w:vAlign w:val="center"/>
          </w:tcPr>
          <w:p>
            <w:pPr>
              <w:pStyle w:val="15"/>
            </w:pPr>
            <w:r>
              <w:t>本年支出合计</w:t>
            </w:r>
          </w:p>
        </w:tc>
        <w:tc>
          <w:tcPr>
            <w:tcW w:w="2126" w:type="dxa"/>
            <w:vAlign w:val="center"/>
          </w:tcPr>
          <w:p>
            <w:pPr>
              <w:pStyle w:val="16"/>
            </w:pPr>
            <w:r>
              <w:t>390.40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390.40</w:t>
            </w:r>
          </w:p>
        </w:tc>
        <w:tc>
          <w:tcPr>
            <w:tcW w:w="4535" w:type="dxa"/>
            <w:vAlign w:val="center"/>
          </w:tcPr>
          <w:p>
            <w:pPr>
              <w:pStyle w:val="15"/>
            </w:pPr>
            <w:r>
              <w:t>支出总计</w:t>
            </w:r>
          </w:p>
        </w:tc>
        <w:tc>
          <w:tcPr>
            <w:tcW w:w="2126" w:type="dxa"/>
            <w:vAlign w:val="center"/>
          </w:tcPr>
          <w:p>
            <w:pPr>
              <w:pStyle w:val="16"/>
            </w:pPr>
            <w:r>
              <w:t>390.40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390.40</w:t>
            </w:r>
          </w:p>
        </w:tc>
        <w:tc>
          <w:tcPr>
            <w:tcW w:w="1134" w:type="dxa"/>
            <w:vAlign w:val="center"/>
          </w:tcPr>
          <w:p>
            <w:pPr>
              <w:pStyle w:val="16"/>
            </w:pPr>
            <w:r>
              <w:t>390.40</w:t>
            </w:r>
          </w:p>
        </w:tc>
        <w:tc>
          <w:tcPr>
            <w:tcW w:w="1134" w:type="dxa"/>
            <w:vAlign w:val="center"/>
          </w:tcPr>
          <w:p>
            <w:pPr>
              <w:pStyle w:val="16"/>
            </w:pPr>
            <w:r>
              <w:t>390.40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20128</w:t>
            </w:r>
          </w:p>
        </w:tc>
        <w:tc>
          <w:tcPr>
            <w:tcW w:w="1559" w:type="dxa"/>
            <w:vAlign w:val="center"/>
          </w:tcPr>
          <w:p>
            <w:pPr>
              <w:pStyle w:val="13"/>
            </w:pPr>
            <w:r>
              <w:t>民主党派及工商联事务</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r>
              <w:t>390.40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pPr>
              <w:pStyle w:val="14"/>
            </w:pPr>
            <w:r>
              <w:t>4</w:t>
            </w:r>
          </w:p>
        </w:tc>
        <w:tc>
          <w:tcPr>
            <w:tcW w:w="992" w:type="dxa"/>
            <w:vAlign w:val="center"/>
          </w:tcPr>
          <w:p>
            <w:pPr>
              <w:pStyle w:val="13"/>
            </w:pPr>
            <w:r>
              <w:t>2012801</w:t>
            </w:r>
          </w:p>
        </w:tc>
        <w:tc>
          <w:tcPr>
            <w:tcW w:w="1559" w:type="dxa"/>
            <w:vAlign w:val="center"/>
          </w:tcPr>
          <w:p>
            <w:pPr>
              <w:pStyle w:val="13"/>
            </w:pPr>
            <w:r>
              <w:t>行政运行</w:t>
            </w:r>
          </w:p>
        </w:tc>
        <w:tc>
          <w:tcPr>
            <w:tcW w:w="1134" w:type="dxa"/>
            <w:vAlign w:val="center"/>
          </w:tcPr>
          <w:p>
            <w:pPr>
              <w:pStyle w:val="12"/>
            </w:pPr>
            <w:r>
              <w:t>270.40</w:t>
            </w:r>
          </w:p>
        </w:tc>
        <w:tc>
          <w:tcPr>
            <w:tcW w:w="1134" w:type="dxa"/>
            <w:vAlign w:val="center"/>
          </w:tcPr>
          <w:p>
            <w:pPr>
              <w:pStyle w:val="12"/>
            </w:pPr>
            <w:r>
              <w:t>270.40</w:t>
            </w:r>
          </w:p>
        </w:tc>
        <w:tc>
          <w:tcPr>
            <w:tcW w:w="1134" w:type="dxa"/>
            <w:vAlign w:val="center"/>
          </w:tcPr>
          <w:p>
            <w:pPr>
              <w:pStyle w:val="12"/>
            </w:pPr>
            <w:r>
              <w:t>270.40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2012804</w:t>
            </w:r>
          </w:p>
        </w:tc>
        <w:tc>
          <w:tcPr>
            <w:tcW w:w="1559" w:type="dxa"/>
            <w:vAlign w:val="center"/>
          </w:tcPr>
          <w:p>
            <w:pPr>
              <w:pStyle w:val="13"/>
            </w:pPr>
            <w:r>
              <w:t>参政议政</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390.40</w:t>
            </w:r>
          </w:p>
        </w:tc>
        <w:tc>
          <w:tcPr>
            <w:tcW w:w="1361" w:type="dxa"/>
            <w:vAlign w:val="center"/>
          </w:tcPr>
          <w:p>
            <w:pPr>
              <w:pStyle w:val="16"/>
            </w:pPr>
            <w:r>
              <w:t>270.40</w:t>
            </w:r>
          </w:p>
        </w:tc>
        <w:tc>
          <w:tcPr>
            <w:tcW w:w="1361" w:type="dxa"/>
            <w:vAlign w:val="center"/>
          </w:tcPr>
          <w:p>
            <w:pPr>
              <w:pStyle w:val="16"/>
            </w:pPr>
            <w:r>
              <w:t>120.00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390.40</w:t>
            </w:r>
          </w:p>
        </w:tc>
        <w:tc>
          <w:tcPr>
            <w:tcW w:w="1361" w:type="dxa"/>
            <w:vAlign w:val="center"/>
          </w:tcPr>
          <w:p>
            <w:pPr>
              <w:pStyle w:val="12"/>
            </w:pPr>
            <w:r>
              <w:t>270.40</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w:t>
            </w:r>
          </w:p>
        </w:tc>
        <w:tc>
          <w:tcPr>
            <w:tcW w:w="992" w:type="dxa"/>
            <w:vAlign w:val="center"/>
          </w:tcPr>
          <w:p>
            <w:pPr>
              <w:pStyle w:val="13"/>
            </w:pPr>
            <w:r>
              <w:t>20128</w:t>
            </w:r>
          </w:p>
        </w:tc>
        <w:tc>
          <w:tcPr>
            <w:tcW w:w="4535" w:type="dxa"/>
            <w:vAlign w:val="center"/>
          </w:tcPr>
          <w:p>
            <w:pPr>
              <w:pStyle w:val="13"/>
            </w:pPr>
            <w:r>
              <w:t>民主党派及工商联事务</w:t>
            </w:r>
          </w:p>
        </w:tc>
        <w:tc>
          <w:tcPr>
            <w:tcW w:w="1361" w:type="dxa"/>
            <w:vAlign w:val="center"/>
          </w:tcPr>
          <w:p>
            <w:pPr>
              <w:pStyle w:val="12"/>
            </w:pPr>
            <w:r>
              <w:t>390.40</w:t>
            </w:r>
          </w:p>
        </w:tc>
        <w:tc>
          <w:tcPr>
            <w:tcW w:w="1361" w:type="dxa"/>
            <w:vAlign w:val="center"/>
          </w:tcPr>
          <w:p>
            <w:pPr>
              <w:pStyle w:val="12"/>
            </w:pPr>
            <w:r>
              <w:t>270.40</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992" w:type="dxa"/>
            <w:vAlign w:val="center"/>
          </w:tcPr>
          <w:p>
            <w:pPr>
              <w:pStyle w:val="13"/>
            </w:pPr>
            <w:r>
              <w:t>2012801</w:t>
            </w:r>
          </w:p>
        </w:tc>
        <w:tc>
          <w:tcPr>
            <w:tcW w:w="4535" w:type="dxa"/>
            <w:vAlign w:val="center"/>
          </w:tcPr>
          <w:p>
            <w:pPr>
              <w:pStyle w:val="13"/>
            </w:pPr>
            <w:r>
              <w:t>行政运行</w:t>
            </w:r>
          </w:p>
        </w:tc>
        <w:tc>
          <w:tcPr>
            <w:tcW w:w="1361" w:type="dxa"/>
            <w:vAlign w:val="center"/>
          </w:tcPr>
          <w:p>
            <w:pPr>
              <w:pStyle w:val="12"/>
            </w:pPr>
            <w:r>
              <w:t>270.40</w:t>
            </w:r>
          </w:p>
        </w:tc>
        <w:tc>
          <w:tcPr>
            <w:tcW w:w="1361" w:type="dxa"/>
            <w:vAlign w:val="center"/>
          </w:tcPr>
          <w:p>
            <w:pPr>
              <w:pStyle w:val="12"/>
            </w:pPr>
            <w:r>
              <w:t>270.40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992" w:type="dxa"/>
            <w:vAlign w:val="center"/>
          </w:tcPr>
          <w:p>
            <w:pPr>
              <w:pStyle w:val="13"/>
            </w:pPr>
            <w:r>
              <w:t>2012804</w:t>
            </w:r>
          </w:p>
        </w:tc>
        <w:tc>
          <w:tcPr>
            <w:tcW w:w="4535" w:type="dxa"/>
            <w:vAlign w:val="center"/>
          </w:tcPr>
          <w:p>
            <w:pPr>
              <w:pStyle w:val="13"/>
            </w:pPr>
            <w:r>
              <w:t>参政议政</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390.40</w:t>
            </w:r>
          </w:p>
        </w:tc>
        <w:tc>
          <w:tcPr>
            <w:tcW w:w="3402" w:type="dxa"/>
            <w:vAlign w:val="center"/>
          </w:tcPr>
          <w:p>
            <w:pPr>
              <w:pStyle w:val="13"/>
            </w:pPr>
            <w:r>
              <w:t>一、一般公共服务支出</w:t>
            </w:r>
          </w:p>
        </w:tc>
        <w:tc>
          <w:tcPr>
            <w:tcW w:w="1474" w:type="dxa"/>
            <w:vAlign w:val="center"/>
          </w:tcPr>
          <w:p>
            <w:pPr>
              <w:pStyle w:val="12"/>
            </w:pPr>
            <w:r>
              <w:t>390.40</w:t>
            </w:r>
          </w:p>
        </w:tc>
        <w:tc>
          <w:tcPr>
            <w:tcW w:w="1474" w:type="dxa"/>
            <w:vAlign w:val="center"/>
          </w:tcPr>
          <w:p>
            <w:pPr>
              <w:pStyle w:val="12"/>
            </w:pPr>
            <w:r>
              <w:t>390.40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390.40</w:t>
            </w:r>
          </w:p>
        </w:tc>
        <w:tc>
          <w:tcPr>
            <w:tcW w:w="3402" w:type="dxa"/>
            <w:vAlign w:val="center"/>
          </w:tcPr>
          <w:p>
            <w:pPr>
              <w:pStyle w:val="15"/>
            </w:pPr>
            <w:r>
              <w:t>本年支出合计</w:t>
            </w:r>
          </w:p>
        </w:tc>
        <w:tc>
          <w:tcPr>
            <w:tcW w:w="1474" w:type="dxa"/>
            <w:vAlign w:val="center"/>
          </w:tcPr>
          <w:p>
            <w:pPr>
              <w:pStyle w:val="16"/>
            </w:pPr>
            <w:r>
              <w:t>390.40</w:t>
            </w:r>
          </w:p>
        </w:tc>
        <w:tc>
          <w:tcPr>
            <w:tcW w:w="1474" w:type="dxa"/>
            <w:vAlign w:val="center"/>
          </w:tcPr>
          <w:p>
            <w:pPr>
              <w:pStyle w:val="16"/>
            </w:pPr>
            <w:r>
              <w:t>390.40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390.40</w:t>
            </w:r>
          </w:p>
        </w:tc>
        <w:tc>
          <w:tcPr>
            <w:tcW w:w="3402" w:type="dxa"/>
            <w:vAlign w:val="center"/>
          </w:tcPr>
          <w:p>
            <w:pPr>
              <w:pStyle w:val="15"/>
            </w:pPr>
            <w:r>
              <w:t>支出总计</w:t>
            </w:r>
          </w:p>
        </w:tc>
        <w:tc>
          <w:tcPr>
            <w:tcW w:w="1474" w:type="dxa"/>
            <w:vAlign w:val="center"/>
          </w:tcPr>
          <w:p>
            <w:pPr>
              <w:pStyle w:val="16"/>
            </w:pPr>
            <w:r>
              <w:t>390.40</w:t>
            </w:r>
          </w:p>
        </w:tc>
        <w:tc>
          <w:tcPr>
            <w:tcW w:w="1474" w:type="dxa"/>
            <w:vAlign w:val="center"/>
          </w:tcPr>
          <w:p>
            <w:pPr>
              <w:pStyle w:val="16"/>
            </w:pPr>
            <w:r>
              <w:t>390.40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390.40</w:t>
            </w:r>
          </w:p>
        </w:tc>
        <w:tc>
          <w:tcPr>
            <w:tcW w:w="2551" w:type="dxa"/>
            <w:vAlign w:val="center"/>
          </w:tcPr>
          <w:p>
            <w:pPr>
              <w:pStyle w:val="16"/>
            </w:pPr>
            <w:r>
              <w:t>270.40</w:t>
            </w:r>
          </w:p>
        </w:tc>
        <w:tc>
          <w:tcPr>
            <w:tcW w:w="2551"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390.40</w:t>
            </w:r>
          </w:p>
        </w:tc>
        <w:tc>
          <w:tcPr>
            <w:tcW w:w="2551" w:type="dxa"/>
            <w:vAlign w:val="center"/>
          </w:tcPr>
          <w:p>
            <w:pPr>
              <w:pStyle w:val="12"/>
            </w:pPr>
            <w:r>
              <w:t>270.40</w:t>
            </w: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20128</w:t>
            </w:r>
          </w:p>
        </w:tc>
        <w:tc>
          <w:tcPr>
            <w:tcW w:w="4535" w:type="dxa"/>
            <w:vAlign w:val="center"/>
          </w:tcPr>
          <w:p>
            <w:pPr>
              <w:pStyle w:val="13"/>
            </w:pPr>
            <w:r>
              <w:t>民主党派及工商联事务</w:t>
            </w:r>
          </w:p>
        </w:tc>
        <w:tc>
          <w:tcPr>
            <w:tcW w:w="2551" w:type="dxa"/>
            <w:vAlign w:val="center"/>
          </w:tcPr>
          <w:p>
            <w:pPr>
              <w:pStyle w:val="12"/>
            </w:pPr>
            <w:r>
              <w:t>390.40</w:t>
            </w:r>
          </w:p>
        </w:tc>
        <w:tc>
          <w:tcPr>
            <w:tcW w:w="2551" w:type="dxa"/>
            <w:vAlign w:val="center"/>
          </w:tcPr>
          <w:p>
            <w:pPr>
              <w:pStyle w:val="12"/>
            </w:pPr>
            <w:r>
              <w:t>270.40</w:t>
            </w: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2012801</w:t>
            </w:r>
          </w:p>
        </w:tc>
        <w:tc>
          <w:tcPr>
            <w:tcW w:w="4535" w:type="dxa"/>
            <w:vAlign w:val="center"/>
          </w:tcPr>
          <w:p>
            <w:pPr>
              <w:pStyle w:val="13"/>
            </w:pPr>
            <w:r>
              <w:t>行政运行</w:t>
            </w:r>
          </w:p>
        </w:tc>
        <w:tc>
          <w:tcPr>
            <w:tcW w:w="2551" w:type="dxa"/>
            <w:vAlign w:val="center"/>
          </w:tcPr>
          <w:p>
            <w:pPr>
              <w:pStyle w:val="12"/>
            </w:pPr>
            <w:r>
              <w:t>270.40</w:t>
            </w:r>
          </w:p>
        </w:tc>
        <w:tc>
          <w:tcPr>
            <w:tcW w:w="2551" w:type="dxa"/>
            <w:vAlign w:val="center"/>
          </w:tcPr>
          <w:p>
            <w:pPr>
              <w:pStyle w:val="12"/>
            </w:pPr>
            <w:r>
              <w:t>270.40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2012804</w:t>
            </w:r>
          </w:p>
        </w:tc>
        <w:tc>
          <w:tcPr>
            <w:tcW w:w="4535" w:type="dxa"/>
            <w:vAlign w:val="center"/>
          </w:tcPr>
          <w:p>
            <w:pPr>
              <w:pStyle w:val="13"/>
            </w:pPr>
            <w:r>
              <w:t>参政议政</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270.40</w:t>
            </w:r>
          </w:p>
        </w:tc>
        <w:tc>
          <w:tcPr>
            <w:tcW w:w="2551" w:type="dxa"/>
            <w:vAlign w:val="center"/>
          </w:tcPr>
          <w:p>
            <w:pPr>
              <w:pStyle w:val="16"/>
            </w:pPr>
            <w:r>
              <w:t>220.75</w:t>
            </w:r>
          </w:p>
        </w:tc>
        <w:tc>
          <w:tcPr>
            <w:tcW w:w="2551" w:type="dxa"/>
            <w:vAlign w:val="center"/>
          </w:tcPr>
          <w:p>
            <w:pPr>
              <w:pStyle w:val="16"/>
            </w:pPr>
            <w:r>
              <w:t>49.65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196.50</w:t>
            </w:r>
          </w:p>
        </w:tc>
        <w:tc>
          <w:tcPr>
            <w:tcW w:w="2551" w:type="dxa"/>
            <w:vAlign w:val="center"/>
          </w:tcPr>
          <w:p>
            <w:pPr>
              <w:pStyle w:val="12"/>
            </w:pPr>
            <w:r>
              <w:t>196.50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55.46</w:t>
            </w:r>
          </w:p>
        </w:tc>
        <w:tc>
          <w:tcPr>
            <w:tcW w:w="2551" w:type="dxa"/>
            <w:vAlign w:val="center"/>
          </w:tcPr>
          <w:p>
            <w:pPr>
              <w:pStyle w:val="12"/>
            </w:pPr>
            <w:r>
              <w:t>55.46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49.26</w:t>
            </w:r>
          </w:p>
        </w:tc>
        <w:tc>
          <w:tcPr>
            <w:tcW w:w="2551" w:type="dxa"/>
            <w:vAlign w:val="center"/>
          </w:tcPr>
          <w:p>
            <w:pPr>
              <w:pStyle w:val="12"/>
            </w:pPr>
            <w:r>
              <w:t>49.26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4.93</w:t>
            </w:r>
          </w:p>
        </w:tc>
        <w:tc>
          <w:tcPr>
            <w:tcW w:w="2551" w:type="dxa"/>
            <w:vAlign w:val="center"/>
          </w:tcPr>
          <w:p>
            <w:pPr>
              <w:pStyle w:val="12"/>
            </w:pPr>
            <w:r>
              <w:t>4.93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15.75</w:t>
            </w:r>
          </w:p>
        </w:tc>
        <w:tc>
          <w:tcPr>
            <w:tcW w:w="2551" w:type="dxa"/>
            <w:vAlign w:val="center"/>
          </w:tcPr>
          <w:p>
            <w:pPr>
              <w:pStyle w:val="12"/>
            </w:pPr>
            <w:r>
              <w:t>15.75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7.29</w:t>
            </w:r>
          </w:p>
        </w:tc>
        <w:tc>
          <w:tcPr>
            <w:tcW w:w="2551" w:type="dxa"/>
            <w:vAlign w:val="center"/>
          </w:tcPr>
          <w:p>
            <w:pPr>
              <w:pStyle w:val="12"/>
            </w:pPr>
            <w:r>
              <w:t>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9.38</w:t>
            </w:r>
          </w:p>
        </w:tc>
        <w:tc>
          <w:tcPr>
            <w:tcW w:w="2551" w:type="dxa"/>
            <w:vAlign w:val="center"/>
          </w:tcPr>
          <w:p>
            <w:pPr>
              <w:pStyle w:val="12"/>
            </w:pPr>
            <w:r>
              <w:t>9.38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0.61</w:t>
            </w:r>
          </w:p>
        </w:tc>
        <w:tc>
          <w:tcPr>
            <w:tcW w:w="2551" w:type="dxa"/>
            <w:vAlign w:val="center"/>
          </w:tcPr>
          <w:p>
            <w:pPr>
              <w:pStyle w:val="12"/>
            </w:pPr>
            <w:r>
              <w:t>0.61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11.82</w:t>
            </w:r>
          </w:p>
        </w:tc>
        <w:tc>
          <w:tcPr>
            <w:tcW w:w="2551" w:type="dxa"/>
            <w:vAlign w:val="center"/>
          </w:tcPr>
          <w:p>
            <w:pPr>
              <w:pStyle w:val="12"/>
            </w:pPr>
            <w:r>
              <w:t>11.82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11</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42.00</w:t>
            </w:r>
          </w:p>
        </w:tc>
        <w:tc>
          <w:tcPr>
            <w:tcW w:w="2551" w:type="dxa"/>
            <w:vAlign w:val="center"/>
          </w:tcPr>
          <w:p>
            <w:pPr>
              <w:pStyle w:val="12"/>
            </w:pPr>
            <w:r>
              <w:t>42.00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49.65</w:t>
            </w:r>
          </w:p>
        </w:tc>
        <w:tc>
          <w:tcPr>
            <w:tcW w:w="2551" w:type="dxa"/>
            <w:vAlign w:val="center"/>
          </w:tcPr>
          <w:p>
            <w:pPr>
              <w:pStyle w:val="12"/>
            </w:pPr>
          </w:p>
        </w:tc>
        <w:tc>
          <w:tcPr>
            <w:tcW w:w="2551" w:type="dxa"/>
            <w:vAlign w:val="center"/>
          </w:tcPr>
          <w:p>
            <w:pPr>
              <w:pStyle w:val="12"/>
            </w:pPr>
            <w:r>
              <w:t>49.65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2.06</w:t>
            </w:r>
          </w:p>
        </w:tc>
        <w:tc>
          <w:tcPr>
            <w:tcW w:w="2551" w:type="dxa"/>
            <w:vAlign w:val="center"/>
          </w:tcPr>
          <w:p>
            <w:pPr>
              <w:pStyle w:val="12"/>
            </w:pPr>
          </w:p>
        </w:tc>
        <w:tc>
          <w:tcPr>
            <w:tcW w:w="2551" w:type="dxa"/>
            <w:vAlign w:val="center"/>
          </w:tcPr>
          <w:p>
            <w:pPr>
              <w:pStyle w:val="12"/>
            </w:pPr>
            <w:r>
              <w:t>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0.26</w:t>
            </w:r>
          </w:p>
        </w:tc>
        <w:tc>
          <w:tcPr>
            <w:tcW w:w="2551" w:type="dxa"/>
            <w:vAlign w:val="center"/>
          </w:tcPr>
          <w:p>
            <w:pPr>
              <w:pStyle w:val="12"/>
            </w:pPr>
          </w:p>
        </w:tc>
        <w:tc>
          <w:tcPr>
            <w:tcW w:w="2551" w:type="dxa"/>
            <w:vAlign w:val="center"/>
          </w:tcPr>
          <w:p>
            <w:pPr>
              <w:pStyle w:val="12"/>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0.33</w:t>
            </w:r>
          </w:p>
        </w:tc>
        <w:tc>
          <w:tcPr>
            <w:tcW w:w="2551" w:type="dxa"/>
            <w:vAlign w:val="center"/>
          </w:tcPr>
          <w:p>
            <w:pPr>
              <w:pStyle w:val="12"/>
            </w:pPr>
          </w:p>
        </w:tc>
        <w:tc>
          <w:tcPr>
            <w:tcW w:w="2551" w:type="dxa"/>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0.75</w:t>
            </w:r>
          </w:p>
        </w:tc>
        <w:tc>
          <w:tcPr>
            <w:tcW w:w="2551" w:type="dxa"/>
            <w:vAlign w:val="center"/>
          </w:tcPr>
          <w:p>
            <w:pPr>
              <w:pStyle w:val="12"/>
            </w:pPr>
          </w:p>
        </w:tc>
        <w:tc>
          <w:tcPr>
            <w:tcW w:w="2551" w:type="dxa"/>
            <w:vAlign w:val="center"/>
          </w:tcPr>
          <w:p>
            <w:pPr>
              <w:pStyle w:val="12"/>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6.58</w:t>
            </w:r>
          </w:p>
        </w:tc>
        <w:tc>
          <w:tcPr>
            <w:tcW w:w="2551" w:type="dxa"/>
            <w:vAlign w:val="center"/>
          </w:tcPr>
          <w:p>
            <w:pPr>
              <w:pStyle w:val="12"/>
            </w:pPr>
          </w:p>
        </w:tc>
        <w:tc>
          <w:tcPr>
            <w:tcW w:w="2551" w:type="dxa"/>
            <w:vAlign w:val="center"/>
          </w:tcPr>
          <w:p>
            <w:pPr>
              <w:pStyle w:val="12"/>
            </w:pPr>
            <w:r>
              <w:t>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18</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6.32</w:t>
            </w:r>
          </w:p>
        </w:tc>
        <w:tc>
          <w:tcPr>
            <w:tcW w:w="2551" w:type="dxa"/>
            <w:vAlign w:val="center"/>
          </w:tcPr>
          <w:p>
            <w:pPr>
              <w:pStyle w:val="12"/>
            </w:pPr>
          </w:p>
        </w:tc>
        <w:tc>
          <w:tcPr>
            <w:tcW w:w="2551" w:type="dxa"/>
            <w:vAlign w:val="center"/>
          </w:tcPr>
          <w:p>
            <w:pPr>
              <w:pStyle w:val="12"/>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2.35</w:t>
            </w:r>
          </w:p>
        </w:tc>
        <w:tc>
          <w:tcPr>
            <w:tcW w:w="2551" w:type="dxa"/>
            <w:vAlign w:val="center"/>
          </w:tcPr>
          <w:p>
            <w:pPr>
              <w:pStyle w:val="12"/>
            </w:pPr>
          </w:p>
        </w:tc>
        <w:tc>
          <w:tcPr>
            <w:tcW w:w="2551" w:type="dxa"/>
            <w:vAlign w:val="center"/>
          </w:tcPr>
          <w:p>
            <w:pPr>
              <w:pStyle w:val="12"/>
            </w:pPr>
            <w: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20</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0.59</w:t>
            </w:r>
          </w:p>
        </w:tc>
        <w:tc>
          <w:tcPr>
            <w:tcW w:w="2551" w:type="dxa"/>
            <w:vAlign w:val="center"/>
          </w:tcPr>
          <w:p>
            <w:pPr>
              <w:pStyle w:val="12"/>
            </w:pPr>
          </w:p>
        </w:tc>
        <w:tc>
          <w:tcPr>
            <w:tcW w:w="2551" w:type="dxa"/>
            <w:vAlign w:val="center"/>
          </w:tcPr>
          <w:p>
            <w:pPr>
              <w:pStyle w:val="12"/>
            </w:pPr>
            <w:r>
              <w:t>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21</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0.83</w:t>
            </w:r>
          </w:p>
        </w:tc>
        <w:tc>
          <w:tcPr>
            <w:tcW w:w="2551" w:type="dxa"/>
            <w:vAlign w:val="center"/>
          </w:tcPr>
          <w:p>
            <w:pPr>
              <w:pStyle w:val="12"/>
            </w:pPr>
          </w:p>
        </w:tc>
        <w:tc>
          <w:tcPr>
            <w:tcW w:w="2551" w:type="dxa"/>
            <w:vAlign w:val="center"/>
          </w:tcPr>
          <w:p>
            <w:pPr>
              <w:pStyle w:val="12"/>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22</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23</w:t>
            </w:r>
          </w:p>
        </w:tc>
        <w:tc>
          <w:tcPr>
            <w:tcW w:w="1191" w:type="dxa"/>
            <w:vAlign w:val="center"/>
          </w:tcPr>
          <w:p>
            <w:pPr>
              <w:pStyle w:val="13"/>
            </w:pPr>
            <w:r>
              <w:t>30227</w:t>
            </w:r>
          </w:p>
        </w:tc>
        <w:tc>
          <w:tcPr>
            <w:tcW w:w="4535" w:type="dxa"/>
            <w:vAlign w:val="center"/>
          </w:tcPr>
          <w:p>
            <w:pPr>
              <w:pStyle w:val="13"/>
            </w:pPr>
            <w:r>
              <w:t>委托业务费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1.18</w:t>
            </w:r>
          </w:p>
        </w:tc>
        <w:tc>
          <w:tcPr>
            <w:tcW w:w="2551" w:type="dxa"/>
            <w:vAlign w:val="center"/>
          </w:tcPr>
          <w:p>
            <w:pPr>
              <w:pStyle w:val="12"/>
            </w:pPr>
          </w:p>
        </w:tc>
        <w:tc>
          <w:tcPr>
            <w:tcW w:w="2551" w:type="dxa"/>
            <w:vAlign w:val="center"/>
          </w:tcPr>
          <w:p>
            <w:pPr>
              <w:pStyle w:val="12"/>
            </w:pPr>
            <w:r>
              <w:t>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1.25</w:t>
            </w:r>
          </w:p>
        </w:tc>
        <w:tc>
          <w:tcPr>
            <w:tcW w:w="2551" w:type="dxa"/>
            <w:vAlign w:val="center"/>
          </w:tcPr>
          <w:p>
            <w:pPr>
              <w:pStyle w:val="12"/>
            </w:pPr>
          </w:p>
        </w:tc>
        <w:tc>
          <w:tcPr>
            <w:tcW w:w="2551"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9.68</w:t>
            </w:r>
          </w:p>
        </w:tc>
        <w:tc>
          <w:tcPr>
            <w:tcW w:w="2551" w:type="dxa"/>
            <w:vAlign w:val="center"/>
          </w:tcPr>
          <w:p>
            <w:pPr>
              <w:pStyle w:val="12"/>
            </w:pPr>
          </w:p>
        </w:tc>
        <w:tc>
          <w:tcPr>
            <w:tcW w:w="2551" w:type="dxa"/>
            <w:vAlign w:val="center"/>
          </w:tcPr>
          <w:p>
            <w:pPr>
              <w:pStyle w:val="12"/>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8.64</w:t>
            </w:r>
          </w:p>
        </w:tc>
        <w:tc>
          <w:tcPr>
            <w:tcW w:w="2551" w:type="dxa"/>
            <w:vAlign w:val="center"/>
          </w:tcPr>
          <w:p>
            <w:pPr>
              <w:pStyle w:val="12"/>
            </w:pPr>
          </w:p>
        </w:tc>
        <w:tc>
          <w:tcPr>
            <w:tcW w:w="2551" w:type="dxa"/>
            <w:vAlign w:val="center"/>
          </w:tcPr>
          <w:p>
            <w:pPr>
              <w:pStyle w:val="12"/>
            </w:pPr>
            <w:r>
              <w:t>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6.47</w:t>
            </w:r>
          </w:p>
        </w:tc>
        <w:tc>
          <w:tcPr>
            <w:tcW w:w="2551" w:type="dxa"/>
            <w:vAlign w:val="center"/>
          </w:tcPr>
          <w:p>
            <w:pPr>
              <w:pStyle w:val="12"/>
            </w:pPr>
          </w:p>
        </w:tc>
        <w:tc>
          <w:tcPr>
            <w:tcW w:w="2551" w:type="dxa"/>
            <w:vAlign w:val="center"/>
          </w:tcPr>
          <w:p>
            <w:pPr>
              <w:pStyle w:val="12"/>
            </w:pPr>
            <w:r>
              <w:t>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24.25</w:t>
            </w:r>
          </w:p>
        </w:tc>
        <w:tc>
          <w:tcPr>
            <w:tcW w:w="2551" w:type="dxa"/>
            <w:vAlign w:val="center"/>
          </w:tcPr>
          <w:p>
            <w:pPr>
              <w:pStyle w:val="12"/>
            </w:pPr>
            <w:r>
              <w:t>24.25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8.23</w:t>
            </w:r>
          </w:p>
        </w:tc>
        <w:tc>
          <w:tcPr>
            <w:tcW w:w="2551" w:type="dxa"/>
            <w:vAlign w:val="center"/>
          </w:tcPr>
          <w:p>
            <w:pPr>
              <w:pStyle w:val="12"/>
            </w:pPr>
            <w:r>
              <w:t>8.23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0.02</w:t>
            </w:r>
          </w:p>
        </w:tc>
        <w:tc>
          <w:tcPr>
            <w:tcW w:w="2551" w:type="dxa"/>
            <w:vAlign w:val="center"/>
          </w:tcPr>
          <w:p>
            <w:pPr>
              <w:pStyle w:val="12"/>
            </w:pPr>
            <w:r>
              <w:t>0.02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32</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16.00</w:t>
            </w:r>
          </w:p>
        </w:tc>
        <w:tc>
          <w:tcPr>
            <w:tcW w:w="2551" w:type="dxa"/>
            <w:vAlign w:val="center"/>
          </w:tcPr>
          <w:p>
            <w:pPr>
              <w:pStyle w:val="12"/>
            </w:pPr>
            <w:r>
              <w:t>16.00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r>
        <w:rPr>
          <w:rFonts w:ascii="方正小标宋_GBK" w:hAnsi="方正小标宋_GBK" w:eastAsia="方正小标宋_GBK" w:cs="方正小标宋_GBK"/>
          <w:color w:val="000000"/>
          <w:sz w:val="36"/>
        </w:rPr>
        <w:t>部门预算财政拨款“三公”经费支出表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716中国农工民主党沧州市委员会</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p>
        </w:tc>
        <w:tc>
          <w:tcPr>
            <w:tcW w:w="3798" w:type="dxa"/>
            <w:vAlign w:val="center"/>
          </w:tcPr>
          <w:p>
            <w:pPr>
              <w:pStyle w:val="13"/>
              <w:rPr>
                <w:b/>
              </w:rPr>
            </w:pPr>
            <w:r>
              <w:rPr>
                <w:b/>
              </w:rPr>
              <w:t>合计</w:t>
            </w:r>
          </w:p>
        </w:tc>
        <w:tc>
          <w:tcPr>
            <w:tcW w:w="2382"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b/>
              </w:rPr>
            </w:pPr>
            <w:r>
              <w:rPr>
                <w:rFonts w:hint="eastAsia" w:asciiTheme="minorEastAsia" w:hAnsiTheme="minorEastAsia" w:eastAsiaTheme="minorEastAsia"/>
                <w:b/>
                <w:lang w:eastAsia="zh-CN"/>
              </w:rPr>
              <w:t>“三公”经费小计</w:t>
            </w:r>
          </w:p>
        </w:tc>
        <w:tc>
          <w:tcPr>
            <w:tcW w:w="2382"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rPr>
                <w:rFonts w:hint="eastAsia" w:eastAsiaTheme="minorEastAsia"/>
                <w:lang w:eastAsia="zh-CN"/>
              </w:rPr>
            </w:pPr>
            <w:r>
              <w:rPr>
                <w:rFonts w:hint="eastAsia" w:eastAsiaTheme="minorEastAsia"/>
                <w:lang w:eastAsia="zh-CN"/>
              </w:rPr>
              <w:t>10.04</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pPr>
            <w:r>
              <w:t>一</w:t>
            </w:r>
            <w:r>
              <w:rPr>
                <w:rFonts w:hint="eastAsia" w:asciiTheme="minorEastAsia" w:hAnsiTheme="minorEastAsia" w:eastAsiaTheme="minorEastAsia"/>
                <w:lang w:eastAsia="zh-CN"/>
              </w:rPr>
              <w:t>、</w:t>
            </w:r>
            <w:r>
              <w:t>因公出国</w:t>
            </w:r>
            <w:r>
              <w:rPr>
                <w:rFonts w:hint="eastAsia" w:asciiTheme="minorEastAsia" w:hAnsiTheme="minorEastAsia" w:eastAsiaTheme="minorEastAsia"/>
                <w:lang w:eastAsia="zh-CN"/>
              </w:rPr>
              <w:t>（镜）费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pPr>
            <w:r>
              <w:t>二</w:t>
            </w:r>
            <w:r>
              <w:rPr>
                <w:rFonts w:hint="eastAsia" w:asciiTheme="minorEastAsia" w:hAnsiTheme="minorEastAsia" w:eastAsiaTheme="minorEastAsia"/>
                <w:lang w:eastAsia="zh-CN"/>
              </w:rPr>
              <w:t>、</w:t>
            </w:r>
            <w:r>
              <w:t>公务用车购置及运维费</w:t>
            </w:r>
          </w:p>
        </w:tc>
        <w:tc>
          <w:tcPr>
            <w:tcW w:w="2382"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hint="eastAsia" w:eastAsiaTheme="minorEastAsia"/>
                <w:lang w:eastAsia="zh-CN"/>
              </w:rPr>
            </w:pPr>
            <w:r>
              <w:t>其中</w:t>
            </w:r>
            <w:r>
              <w:rPr>
                <w:rFonts w:hint="eastAsia" w:asciiTheme="minorEastAsia" w:hAnsiTheme="minorEastAsia" w:eastAsiaTheme="minorEastAsia"/>
                <w:lang w:eastAsia="zh-CN"/>
              </w:rPr>
              <w:t>：</w:t>
            </w:r>
            <w:r>
              <w:t>公务用车购置</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rPr>
                <w:rFonts w:hint="eastAsia" w:eastAsiaTheme="minorEastAsia"/>
                <w:lang w:eastAsia="zh-CN"/>
              </w:rPr>
            </w:pPr>
            <w:r>
              <w:rPr>
                <w:rFonts w:hint="eastAsia" w:eastAsiaTheme="minorEastAsia"/>
                <w:lang w:eastAsia="zh-CN"/>
              </w:rPr>
              <w:t xml:space="preserve">       公务用车运行维护费</w:t>
            </w:r>
          </w:p>
        </w:tc>
        <w:tc>
          <w:tcPr>
            <w:tcW w:w="2382"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rPr>
                <w:rFonts w:hint="eastAsia" w:eastAsiaTheme="minorEastAsia"/>
                <w:lang w:eastAsia="zh-CN"/>
              </w:rPr>
            </w:pPr>
            <w:r>
              <w:rPr>
                <w:rFonts w:hint="eastAsia" w:eastAsiaTheme="minorEastAsia"/>
                <w:lang w:eastAsia="zh-CN"/>
              </w:rPr>
              <w:t>9.68</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850" w:type="dxa"/>
            <w:vAlign w:val="center"/>
          </w:tcPr>
          <w:p>
            <w:pPr>
              <w:pStyle w:val="14"/>
            </w:pPr>
          </w:p>
        </w:tc>
        <w:tc>
          <w:tcPr>
            <w:tcW w:w="3798" w:type="dxa"/>
            <w:vAlign w:val="center"/>
          </w:tcPr>
          <w:p>
            <w:pPr>
              <w:pStyle w:val="13"/>
              <w:rPr>
                <w:rFonts w:hint="eastAsia" w:eastAsiaTheme="minorEastAsia"/>
                <w:lang w:eastAsia="zh-CN"/>
              </w:rPr>
            </w:pPr>
            <w:r>
              <w:t>三</w:t>
            </w:r>
            <w:r>
              <w:rPr>
                <w:rFonts w:hint="eastAsia" w:asciiTheme="minorEastAsia" w:hAnsiTheme="minorEastAsia" w:eastAsiaTheme="minorEastAsia"/>
                <w:lang w:eastAsia="zh-CN"/>
              </w:rPr>
              <w:t>、</w:t>
            </w:r>
            <w:r>
              <w:t>公务接待费</w:t>
            </w:r>
          </w:p>
        </w:tc>
        <w:tc>
          <w:tcPr>
            <w:tcW w:w="2382" w:type="dxa"/>
            <w:vAlign w:val="center"/>
          </w:tcPr>
          <w:p>
            <w:pPr>
              <w:pStyle w:val="12"/>
              <w:rPr>
                <w:rFonts w:hint="eastAsia" w:eastAsiaTheme="minorEastAsia"/>
                <w:lang w:eastAsia="zh-CN"/>
              </w:rPr>
            </w:pPr>
            <w:r>
              <w:rPr>
                <w:rFonts w:hint="eastAsia" w:eastAsiaTheme="minorEastAsia"/>
                <w:lang w:eastAsia="zh-CN"/>
              </w:rPr>
              <w:t>0.36</w:t>
            </w:r>
          </w:p>
        </w:tc>
        <w:tc>
          <w:tcPr>
            <w:tcW w:w="2381" w:type="dxa"/>
            <w:vAlign w:val="center"/>
          </w:tcPr>
          <w:p>
            <w:pPr>
              <w:pStyle w:val="12"/>
              <w:rPr>
                <w:rFonts w:hint="eastAsia" w:eastAsiaTheme="minorEastAsia"/>
                <w:lang w:eastAsia="zh-CN"/>
              </w:rPr>
            </w:pPr>
            <w:r>
              <w:rPr>
                <w:rFonts w:hint="eastAsia" w:eastAsiaTheme="minorEastAsia"/>
                <w:lang w:eastAsia="zh-CN"/>
              </w:rPr>
              <w:t>0.36</w:t>
            </w:r>
          </w:p>
        </w:tc>
        <w:tc>
          <w:tcPr>
            <w:tcW w:w="2381" w:type="dxa"/>
            <w:vAlign w:val="center"/>
          </w:tcPr>
          <w:p>
            <w:pPr>
              <w:pStyle w:val="12"/>
            </w:pPr>
          </w:p>
        </w:tc>
        <w:tc>
          <w:tcPr>
            <w:tcW w:w="2381" w:type="dxa"/>
            <w:vAlign w:val="center"/>
          </w:tcPr>
          <w:p>
            <w:pPr>
              <w:pStyle w:val="12"/>
            </w:pPr>
          </w:p>
        </w:tc>
      </w:tr>
    </w:tbl>
    <w:p>
      <w:pPr>
        <w:jc w:val="center"/>
        <w:outlineLvl w:val="4"/>
        <w:rPr>
          <w:rFonts w:ascii="方正小标宋_GBK" w:hAnsi="方正小标宋_GBK" w:eastAsia="方正小标宋_GBK" w:cs="方正小标宋_GBK"/>
          <w:color w:val="000000"/>
          <w:sz w:val="44"/>
        </w:rPr>
      </w:pPr>
    </w:p>
    <w:p>
      <w:pP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br w:type="page"/>
      </w:r>
    </w:p>
    <w:p>
      <w:pPr>
        <w:jc w:val="center"/>
        <w:outlineLvl w:val="4"/>
      </w:pPr>
      <w:r>
        <w:rPr>
          <w:rFonts w:ascii="方正小标宋_GBK" w:hAnsi="方正小标宋_GBK" w:eastAsia="方正小标宋_GBK" w:cs="方正小标宋_GBK"/>
          <w:color w:val="000000"/>
          <w:sz w:val="44"/>
        </w:rPr>
        <w:t>中国农工民主党沧州市委员会本级2022年单位预算信息公开情况说明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按照《预算法》、《地方预决算公开操作规程》和《关于进一步推进预算公开工作的实施意见》规定，现将中国农工民主党沧州市委员会本级2022年单位预算公开如下：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pPr>
      <w:r>
        <w:t>中国农工民主党沧州市委员会包含四个民主党派，其中有：民革沧州市委员会、民盟沧州市委员会、农工党沧州市委员会、九三学社沧州市委员会。</w:t>
      </w:r>
    </w:p>
    <w:p>
      <w:pPr>
        <w:pStyle w:val="26"/>
      </w:pPr>
      <w:r>
        <w:t>一、民革沧州市委员会的职责：负责机关内外的联系和综合协调工作，保证机关业务和行政工作的正常运转；负责各种重要文件、工作报告、工作总结的起草工作；负责办理民革沧州市委员会决定、决议的落实及交办的日常工作。</w:t>
      </w:r>
    </w:p>
    <w:p>
      <w:pPr>
        <w:pStyle w:val="26"/>
      </w:pPr>
      <w:r>
        <w:t>二、民盟沧州市委员会的职责：负责机关内外的联系和综合协调工作，保证机关业务和行政工作的正常运转；负责各种重要文件、工作报告、工作总结的起草工作；负责办理民盟沧州市委员会决定、决议的落实及交办的日常工作。</w:t>
      </w:r>
    </w:p>
    <w:p>
      <w:pPr>
        <w:pStyle w:val="26"/>
      </w:pPr>
      <w:r>
        <w:t>三、农工党沧州市委员会的职责：负责机关内外的联系和综合协调工作，保证机关业务和行政工作的正常运转；负责各种重要文件、工作报告、工作总结的起草工作；负责办理农工民主党沧州市委员会决定、决议的落实及交办的日常工作。</w:t>
      </w:r>
    </w:p>
    <w:p>
      <w:pPr>
        <w:pStyle w:val="26"/>
      </w:pPr>
      <w:r>
        <w:t>四、九三学社沧州市委员会的职责：负责机关内外的联系和综合协调工作，保证机关业务和行政工作的正常运转；负责各种重要文件、工作报告、工作总结的起草工作；负责办理九三学社沧州市委员会决定、决议的落实及交办的日常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中国农工民主党沧州市委员会本级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ind w:firstLine="640"/>
        <w:outlineLvl w:val="5"/>
        <w:rPr>
          <w:rFonts w:eastAsiaTheme="minorEastAsia"/>
          <w:lang w:eastAsia="zh-CN"/>
        </w:rPr>
      </w:pPr>
      <w:r>
        <w:rPr>
          <w:rFonts w:ascii="黑体" w:hAnsi="黑体" w:eastAsia="黑体" w:cs="黑体"/>
          <w:color w:val="000000"/>
          <w:sz w:val="32"/>
        </w:rPr>
        <w:t>二、单位预算安排的总体情况</w:t>
      </w:r>
    </w:p>
    <w:p>
      <w:pPr>
        <w:pStyle w:val="27"/>
        <w:rPr>
          <w:rFonts w:hint="eastAsia" w:eastAsiaTheme="minorEastAsia"/>
          <w:lang w:eastAsia="zh-CN"/>
        </w:rPr>
      </w:pPr>
      <w:r>
        <w:t>按照预算管理有关规定，目前我</w:t>
      </w:r>
      <w:r>
        <w:rPr>
          <w:rFonts w:hint="eastAsia"/>
          <w:color w:val="000000"/>
          <w:lang w:eastAsia="zh-CN"/>
        </w:rPr>
        <w:t>市</w:t>
      </w:r>
      <w:r>
        <w:rPr>
          <w:rFonts w:hint="eastAsia" w:eastAsiaTheme="minorEastAsia"/>
          <w:lang w:eastAsia="zh-CN"/>
        </w:rPr>
        <w:t>单位</w:t>
      </w:r>
      <w:r>
        <w:t>预算的编制实行综合预算管理，即全部收入和支出都反映在预算中。</w:t>
      </w:r>
    </w:p>
    <w:p>
      <w:pPr>
        <w:pStyle w:val="27"/>
      </w:pPr>
      <w:r>
        <w:t>1、收入说明</w:t>
      </w:r>
    </w:p>
    <w:p>
      <w:pPr>
        <w:pStyle w:val="27"/>
      </w:pPr>
      <w:r>
        <w:t>反映本</w:t>
      </w:r>
      <w:r>
        <w:rPr>
          <w:rFonts w:hint="eastAsia" w:eastAsiaTheme="minorEastAsia"/>
          <w:lang w:eastAsia="zh-CN"/>
        </w:rPr>
        <w:t>单位</w:t>
      </w:r>
      <w:r>
        <w:t>当年全部收入。2022年预算收入390.40万元，其中：一般公共预算收入390.40万元，基金预算收入0万元，国有资本经营预算收入0万元，财政专户核拨收入0万元，单位资金收入390.40万元，上年结转0万元。</w:t>
      </w:r>
    </w:p>
    <w:p>
      <w:pPr>
        <w:pStyle w:val="27"/>
      </w:pPr>
      <w:r>
        <w:t>2、支出说明</w:t>
      </w:r>
    </w:p>
    <w:p>
      <w:pPr>
        <w:pStyle w:val="27"/>
      </w:pPr>
      <w:r>
        <w:t>收支预算总表支出栏、基本支出表、项目支出表按经济分类和支出功能分类科目编制，反映中国农工民主党沧州市委员会年度</w:t>
      </w:r>
      <w:r>
        <w:rPr>
          <w:rFonts w:hint="eastAsia" w:eastAsiaTheme="minorEastAsia"/>
          <w:lang w:eastAsia="zh-CN"/>
        </w:rPr>
        <w:t>单位</w:t>
      </w:r>
      <w:r>
        <w:t>预算中支出预算的总体情况。2022年支出预算为390.40万元，其中基本支出270.40万元，包括人员经费220.75万元和日常公用经费49.65万元；项目支出120万元，主要为参政议政专项经费支出120万元。</w:t>
      </w:r>
    </w:p>
    <w:p>
      <w:pPr>
        <w:pStyle w:val="27"/>
      </w:pPr>
      <w:r>
        <w:t>3、比上年增减情况</w:t>
      </w:r>
    </w:p>
    <w:p>
      <w:pPr>
        <w:pStyle w:val="27"/>
      </w:pPr>
      <w:r>
        <w:t>2022年预算收支安排390.40万元，较2021年预算增加42.64万元，其中：基本支出增加42.64万元，主要是增加人员经费支出29万元，公用经费增加13.64万元；项目支出增加0万元，</w:t>
      </w:r>
      <w:r>
        <w:rPr>
          <w:rFonts w:hint="eastAsia"/>
          <w:lang w:eastAsia="zh-CN"/>
        </w:rPr>
        <w:t>无增减变化</w:t>
      </w:r>
      <w:r>
        <w:t>。</w:t>
      </w:r>
      <w:bookmarkStart w:id="19" w:name="_GoBack"/>
      <w:bookmarkEnd w:id="19"/>
    </w:p>
    <w:p>
      <w:pPr>
        <w:spacing w:before="10" w:after="10"/>
        <w:ind w:firstLine="640"/>
        <w:outlineLvl w:val="5"/>
      </w:pPr>
      <w:r>
        <w:rPr>
          <w:rFonts w:ascii="黑体" w:hAnsi="黑体" w:eastAsia="黑体" w:cs="黑体"/>
          <w:color w:val="000000"/>
          <w:sz w:val="32"/>
        </w:rPr>
        <w:t>三、机关运行经费安排情况</w:t>
      </w:r>
    </w:p>
    <w:p>
      <w:pPr>
        <w:pStyle w:val="28"/>
      </w:pPr>
      <w:r>
        <w:t>2022年，我</w:t>
      </w:r>
      <w:r>
        <w:rPr>
          <w:rFonts w:hint="eastAsia" w:eastAsiaTheme="minorEastAsia"/>
          <w:lang w:eastAsia="zh-CN"/>
        </w:rPr>
        <w:t>单位</w:t>
      </w:r>
      <w:r>
        <w:t>运行经费共计安排</w:t>
      </w:r>
      <w:r>
        <w:rPr>
          <w:rFonts w:hint="eastAsia" w:asciiTheme="minorEastAsia" w:hAnsiTheme="minorEastAsia" w:eastAsiaTheme="minorEastAsia"/>
          <w:lang w:eastAsia="zh-CN"/>
        </w:rPr>
        <w:t>49.65</w:t>
      </w:r>
      <w:r>
        <w:t>万元，主要用于日常维修、办公用房水电费、办公用房取暖费、办公用房物业费管理等日常运行支出。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pPr>
      <w:r>
        <w:t>2022年，我</w:t>
      </w:r>
      <w:r>
        <w:rPr>
          <w:rFonts w:hint="eastAsia" w:eastAsiaTheme="minorEastAsia"/>
          <w:lang w:eastAsia="zh-CN"/>
        </w:rPr>
        <w:t>单位</w:t>
      </w:r>
      <w:r>
        <w:t>财政拨款“三公”经费预算安排10.04万元，其中因公出国（境）费0万元；公务用车购置及运维费9.68万元（其中：公务用车购置费为0万元，公务用车运维费9.68万元）；公务接待费0.6万元。与2021年相比减少0.07万元，减少的主要原因是</w:t>
      </w:r>
      <w:r>
        <w:rPr>
          <w:rFonts w:hint="eastAsia"/>
        </w:rPr>
        <w:t>由于差旅费标准调整，间接导致</w:t>
      </w:r>
      <w:r>
        <w:t>公务接待费减少0.07万元。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1、2022年度九三学社参政议政经费绩效目标表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2835" w:type="dxa"/>
            <w:vAlign w:val="center"/>
          </w:tcPr>
          <w:p>
            <w:pPr>
              <w:pStyle w:val="13"/>
            </w:pPr>
            <w:r>
              <w:t>组织主题宣传活动场次</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2835" w:type="dxa"/>
            <w:vAlign w:val="center"/>
          </w:tcPr>
          <w:p>
            <w:pPr>
              <w:pStyle w:val="13"/>
            </w:pPr>
            <w:r>
              <w:t>任务完成及时率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采购成本控制率</w:t>
            </w:r>
          </w:p>
        </w:tc>
        <w:tc>
          <w:tcPr>
            <w:tcW w:w="2835" w:type="dxa"/>
            <w:vAlign w:val="center"/>
          </w:tcPr>
          <w:p>
            <w:pPr>
              <w:pStyle w:val="13"/>
            </w:pPr>
            <w:r>
              <w:t>采购成本控制率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投诉意见条数</w:t>
            </w:r>
          </w:p>
        </w:tc>
        <w:tc>
          <w:tcPr>
            <w:tcW w:w="2835" w:type="dxa"/>
            <w:vAlign w:val="center"/>
          </w:tcPr>
          <w:p>
            <w:pPr>
              <w:pStyle w:val="13"/>
            </w:pPr>
            <w:r>
              <w:t>投诉意见条数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2、2022年度民革参政议政经费绩效目标表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组织开展网络宣传活动次数</w:t>
            </w:r>
          </w:p>
        </w:tc>
        <w:tc>
          <w:tcPr>
            <w:tcW w:w="2835" w:type="dxa"/>
            <w:vAlign w:val="center"/>
          </w:tcPr>
          <w:p>
            <w:pPr>
              <w:pStyle w:val="13"/>
            </w:pPr>
            <w:r>
              <w:t>组织开展网络宣传活动次数</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采购设备按时完成率</w:t>
            </w:r>
          </w:p>
        </w:tc>
        <w:tc>
          <w:tcPr>
            <w:tcW w:w="2835" w:type="dxa"/>
            <w:vAlign w:val="center"/>
          </w:tcPr>
          <w:p>
            <w:pPr>
              <w:pStyle w:val="13"/>
            </w:pPr>
            <w:r>
              <w:t>采购设备按时完成率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采购设备成本降低率</w:t>
            </w:r>
          </w:p>
        </w:tc>
        <w:tc>
          <w:tcPr>
            <w:tcW w:w="2835" w:type="dxa"/>
            <w:vAlign w:val="center"/>
          </w:tcPr>
          <w:p>
            <w:pPr>
              <w:pStyle w:val="13"/>
            </w:pPr>
            <w:r>
              <w:t>采购设备成本降低率</w:t>
            </w:r>
          </w:p>
        </w:tc>
        <w:tc>
          <w:tcPr>
            <w:tcW w:w="2551" w:type="dxa"/>
            <w:vAlign w:val="center"/>
          </w:tcPr>
          <w:p>
            <w:pPr>
              <w:pStyle w:val="13"/>
            </w:pPr>
            <w:r>
              <w:t>≥20%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服务对象书面投诉数</w:t>
            </w:r>
          </w:p>
        </w:tc>
        <w:tc>
          <w:tcPr>
            <w:tcW w:w="2835" w:type="dxa"/>
            <w:vAlign w:val="center"/>
          </w:tcPr>
          <w:p>
            <w:pPr>
              <w:pStyle w:val="13"/>
            </w:pPr>
            <w:r>
              <w:t>服务对象书面投诉数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3、2022年度民盟参政议政经费绩效目标表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组织宣传活动次数（次）</w:t>
            </w:r>
          </w:p>
        </w:tc>
        <w:tc>
          <w:tcPr>
            <w:tcW w:w="2835" w:type="dxa"/>
            <w:vAlign w:val="center"/>
          </w:tcPr>
          <w:p>
            <w:pPr>
              <w:pStyle w:val="13"/>
            </w:pPr>
            <w:r>
              <w:t>组织宣传活动次数（次）</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2835" w:type="dxa"/>
            <w:vAlign w:val="center"/>
          </w:tcPr>
          <w:p>
            <w:pPr>
              <w:pStyle w:val="13"/>
            </w:pPr>
            <w:r>
              <w:t>各项任务完成及时率（%）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采购成本控制率</w:t>
            </w:r>
          </w:p>
        </w:tc>
        <w:tc>
          <w:tcPr>
            <w:tcW w:w="2835" w:type="dxa"/>
            <w:vAlign w:val="center"/>
          </w:tcPr>
          <w:p>
            <w:pPr>
              <w:pStyle w:val="13"/>
            </w:pPr>
            <w:r>
              <w:t>采购成本控制率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投诉意见条数</w:t>
            </w:r>
          </w:p>
        </w:tc>
        <w:tc>
          <w:tcPr>
            <w:tcW w:w="2835" w:type="dxa"/>
            <w:vAlign w:val="center"/>
          </w:tcPr>
          <w:p>
            <w:pPr>
              <w:pStyle w:val="13"/>
            </w:pPr>
            <w:r>
              <w:t>投诉意见条数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4、2022年度农工党参政议政经费绩效目标表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1.在加强和改善民主履行参政议政智能新形式下，民主党派参政议政的任务更加重要和重大。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组织主题宣传活动场次</w:t>
            </w:r>
          </w:p>
        </w:tc>
        <w:tc>
          <w:tcPr>
            <w:tcW w:w="2835" w:type="dxa"/>
            <w:vAlign w:val="center"/>
          </w:tcPr>
          <w:p>
            <w:pPr>
              <w:pStyle w:val="13"/>
            </w:pPr>
            <w:r>
              <w:t>组织主题宣传活动场次</w:t>
            </w:r>
          </w:p>
        </w:tc>
        <w:tc>
          <w:tcPr>
            <w:tcW w:w="2551" w:type="dxa"/>
            <w:vAlign w:val="center"/>
          </w:tcPr>
          <w:p>
            <w:pPr>
              <w:pStyle w:val="13"/>
            </w:pPr>
            <w:r>
              <w:t>≥20次</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设备仪器完好率（≧**%）</w:t>
            </w:r>
          </w:p>
        </w:tc>
        <w:tc>
          <w:tcPr>
            <w:tcW w:w="2835" w:type="dxa"/>
            <w:vAlign w:val="center"/>
          </w:tcPr>
          <w:p>
            <w:pPr>
              <w:pStyle w:val="13"/>
            </w:pPr>
            <w:r>
              <w:t>设备仪器完好率（≧**%）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任务完成及时率</w:t>
            </w:r>
          </w:p>
        </w:tc>
        <w:tc>
          <w:tcPr>
            <w:tcW w:w="2835" w:type="dxa"/>
            <w:vAlign w:val="center"/>
          </w:tcPr>
          <w:p>
            <w:pPr>
              <w:pStyle w:val="13"/>
            </w:pPr>
            <w:r>
              <w:t>任务完成及时率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采购成本控制率</w:t>
            </w:r>
          </w:p>
        </w:tc>
        <w:tc>
          <w:tcPr>
            <w:tcW w:w="2835" w:type="dxa"/>
            <w:vAlign w:val="center"/>
          </w:tcPr>
          <w:p>
            <w:pPr>
              <w:pStyle w:val="13"/>
            </w:pPr>
            <w:r>
              <w:t>采购成本控制率</w:t>
            </w:r>
          </w:p>
        </w:tc>
        <w:tc>
          <w:tcPr>
            <w:tcW w:w="2551" w:type="dxa"/>
            <w:vAlign w:val="center"/>
          </w:tcPr>
          <w:p>
            <w:pPr>
              <w:pStyle w:val="13"/>
            </w:pPr>
            <w:r>
              <w:t>≥95%</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成果应用率（%）</w:t>
            </w:r>
          </w:p>
        </w:tc>
        <w:tc>
          <w:tcPr>
            <w:tcW w:w="2835" w:type="dxa"/>
            <w:vAlign w:val="center"/>
          </w:tcPr>
          <w:p>
            <w:pPr>
              <w:pStyle w:val="13"/>
            </w:pPr>
            <w:r>
              <w:t>成果应用率（%）</w:t>
            </w:r>
          </w:p>
        </w:tc>
        <w:tc>
          <w:tcPr>
            <w:tcW w:w="2551" w:type="dxa"/>
            <w:vAlign w:val="center"/>
          </w:tcPr>
          <w:p>
            <w:pPr>
              <w:pStyle w:val="13"/>
            </w:pPr>
            <w:r>
              <w:t>≥90%</w:t>
            </w:r>
          </w:p>
        </w:tc>
        <w:tc>
          <w:tcPr>
            <w:tcW w:w="22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投诉意见条数</w:t>
            </w:r>
          </w:p>
        </w:tc>
        <w:tc>
          <w:tcPr>
            <w:tcW w:w="2835" w:type="dxa"/>
            <w:vAlign w:val="center"/>
          </w:tcPr>
          <w:p>
            <w:pPr>
              <w:pStyle w:val="13"/>
            </w:pPr>
            <w:r>
              <w:t>投诉意见条数</w:t>
            </w:r>
          </w:p>
        </w:tc>
        <w:tc>
          <w:tcPr>
            <w:tcW w:w="2551" w:type="dxa"/>
            <w:vAlign w:val="center"/>
          </w:tcPr>
          <w:p>
            <w:pPr>
              <w:pStyle w:val="13"/>
            </w:pPr>
            <w:r>
              <w:t>≤5条</w:t>
            </w:r>
          </w:p>
        </w:tc>
        <w:tc>
          <w:tcPr>
            <w:tcW w:w="2268" w:type="dxa"/>
            <w:vAlign w:val="center"/>
          </w:tcPr>
          <w:p>
            <w:pPr>
              <w:pStyle w:val="13"/>
            </w:pP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2022年，中国农工民主党沧州市委员会本级安排政府采购预算0.00万元。具体内容见下表。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中国农工民主党沧州市委员会本级上年末固定资产金额为84.50万元（详见下表）。本年度拟购置固定资产总额为0.00万元，已按要求列入政府采购预算，详见政府采购预算表。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716001中国农工民主党沧州市委员会本级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84.50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76.84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r>
              <w:t>7.66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市</w:t>
      </w:r>
      <w:r>
        <w:rPr>
          <w:rFonts w:eastAsia="方正仿宋_GBK"/>
          <w:color w:val="000000"/>
          <w:sz w:val="28"/>
        </w:rPr>
        <w:t>级财政预算管理的“三公”经费，是指</w:t>
      </w:r>
      <w:r>
        <w:rPr>
          <w:rFonts w:hint="eastAsia" w:eastAsia="方正仿宋_GBK"/>
          <w:color w:val="000000"/>
          <w:sz w:val="28"/>
          <w:lang w:eastAsia="zh-CN"/>
        </w:rPr>
        <w:t>市级</w:t>
      </w:r>
      <w:r>
        <w:rPr>
          <w:rFonts w:eastAsia="方正仿宋_GBK"/>
          <w:color w:val="000000"/>
          <w:sz w:val="28"/>
        </w:rPr>
        <w:t>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Theme="minor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AAD35"/>
    <w:multiLevelType w:val="singleLevel"/>
    <w:tmpl w:val="DB3AAD3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1E66F8"/>
    <w:rsid w:val="0005450E"/>
    <w:rsid w:val="001E66F8"/>
    <w:rsid w:val="00347A34"/>
    <w:rsid w:val="0036005B"/>
    <w:rsid w:val="00460C9B"/>
    <w:rsid w:val="00540D82"/>
    <w:rsid w:val="006244CC"/>
    <w:rsid w:val="0064109D"/>
    <w:rsid w:val="00653544"/>
    <w:rsid w:val="00702744"/>
    <w:rsid w:val="00795CF5"/>
    <w:rsid w:val="007C0E9F"/>
    <w:rsid w:val="007F0D4A"/>
    <w:rsid w:val="008949EE"/>
    <w:rsid w:val="009D717D"/>
    <w:rsid w:val="00A742D7"/>
    <w:rsid w:val="00C23637"/>
    <w:rsid w:val="00C45E5E"/>
    <w:rsid w:val="00CC67CD"/>
    <w:rsid w:val="00E43094"/>
    <w:rsid w:val="00F76E99"/>
    <w:rsid w:val="00FA1E30"/>
    <w:rsid w:val="4FC51ED8"/>
    <w:rsid w:val="73113FE5"/>
    <w:rsid w:val="BE3C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6"/>
    <w:semiHidden/>
    <w:unhideWhenUsed/>
    <w:qFormat/>
    <w:uiPriority w:val="99"/>
    <w:rPr>
      <w:sz w:val="18"/>
      <w:szCs w:val="18"/>
    </w:r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目录 21"/>
    <w:basedOn w:val="1"/>
    <w:qFormat/>
    <w:uiPriority w:val="0"/>
    <w:pPr>
      <w:ind w:left="240"/>
    </w:pPr>
  </w:style>
  <w:style w:type="paragraph" w:customStyle="1" w:styleId="31">
    <w:name w:val="目录 31"/>
    <w:basedOn w:val="1"/>
    <w:qFormat/>
    <w:uiPriority w:val="0"/>
    <w:pPr>
      <w:ind w:left="480"/>
    </w:pPr>
  </w:style>
  <w:style w:type="paragraph" w:customStyle="1" w:styleId="32">
    <w:name w:val="目录 41"/>
    <w:basedOn w:val="1"/>
    <w:qFormat/>
    <w:uiPriority w:val="0"/>
    <w:pPr>
      <w:ind w:left="720"/>
    </w:pPr>
  </w:style>
  <w:style w:type="paragraph" w:customStyle="1" w:styleId="33">
    <w:name w:val="目录 11"/>
    <w:basedOn w:val="1"/>
    <w:qFormat/>
    <w:uiPriority w:val="0"/>
    <w:pPr>
      <w:spacing w:before="120"/>
      <w:ind w:firstLine="560"/>
    </w:pPr>
    <w:rPr>
      <w:rFonts w:eastAsia="方正仿宋_GBK"/>
      <w:color w:val="000000"/>
      <w:sz w:val="28"/>
    </w:rPr>
  </w:style>
  <w:style w:type="character" w:customStyle="1" w:styleId="34">
    <w:name w:val="页眉 Char"/>
    <w:basedOn w:val="7"/>
    <w:link w:val="4"/>
    <w:qFormat/>
    <w:uiPriority w:val="99"/>
    <w:rPr>
      <w:rFonts w:eastAsia="Times New Roman"/>
      <w:sz w:val="18"/>
      <w:szCs w:val="18"/>
      <w:lang w:eastAsia="uk-UA"/>
    </w:rPr>
  </w:style>
  <w:style w:type="character" w:customStyle="1" w:styleId="35">
    <w:name w:val="页脚 Char"/>
    <w:basedOn w:val="7"/>
    <w:link w:val="3"/>
    <w:qFormat/>
    <w:uiPriority w:val="99"/>
    <w:rPr>
      <w:rFonts w:eastAsia="Times New Roman"/>
      <w:sz w:val="18"/>
      <w:szCs w:val="18"/>
      <w:lang w:eastAsia="uk-UA"/>
    </w:rPr>
  </w:style>
  <w:style w:type="character" w:customStyle="1" w:styleId="36">
    <w:name w:val="批注框文本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51</Pages>
  <Words>3249</Words>
  <Characters>18520</Characters>
  <Lines>154</Lines>
  <Paragraphs>43</Paragraphs>
  <TotalTime>23</TotalTime>
  <ScaleCrop>false</ScaleCrop>
  <LinksUpToDate>false</LinksUpToDate>
  <CharactersWithSpaces>21726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2022-03-05T23:20:00Z</dcterms:created>
  <dc:creator>Administrator</dc:creator>
  <cp:lastModifiedBy>bszx-wn</cp:lastModifiedBy>
  <cp:lastPrinted>2022-06-21T10:56:00Z</cp:lastPrinted>
  <dcterms:modified xsi:type="dcterms:W3CDTF">2022-07-20T08:29:05Z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FCD4AD79DAF24BBDB86A9B09FB715B7C</vt:lpwstr>
  </property>
</Properties>
</file>