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476.24</w:t>
            </w:r>
          </w:p>
        </w:tc>
        <w:tc>
          <w:tcPr>
            <w:tcW w:w="4535" w:type="dxa"/>
            <w:vAlign w:val="center"/>
          </w:tcPr>
          <w:p>
            <w:pPr>
              <w:pStyle w:val="13"/>
            </w:pPr>
            <w:r>
              <w:t>一、一般公共服务支出</w:t>
            </w:r>
          </w:p>
        </w:tc>
        <w:tc>
          <w:tcPr>
            <w:tcW w:w="2126" w:type="dxa"/>
            <w:vAlign w:val="center"/>
          </w:tcPr>
          <w:p>
            <w:pPr>
              <w:pStyle w:val="12"/>
            </w:pPr>
            <w:r>
              <w:t>476.24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476.24</w:t>
            </w:r>
          </w:p>
        </w:tc>
        <w:tc>
          <w:tcPr>
            <w:tcW w:w="4535" w:type="dxa"/>
            <w:vAlign w:val="center"/>
          </w:tcPr>
          <w:p>
            <w:pPr>
              <w:pStyle w:val="15"/>
            </w:pPr>
            <w:r>
              <w:t>本年支出合计</w:t>
            </w:r>
          </w:p>
        </w:tc>
        <w:tc>
          <w:tcPr>
            <w:tcW w:w="2126" w:type="dxa"/>
            <w:vAlign w:val="center"/>
          </w:tcPr>
          <w:p>
            <w:pPr>
              <w:pStyle w:val="16"/>
            </w:pPr>
            <w:r>
              <w:t>476.24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476.24</w:t>
            </w:r>
          </w:p>
        </w:tc>
        <w:tc>
          <w:tcPr>
            <w:tcW w:w="4535" w:type="dxa"/>
            <w:vAlign w:val="center"/>
          </w:tcPr>
          <w:p>
            <w:pPr>
              <w:pStyle w:val="15"/>
            </w:pPr>
            <w:r>
              <w:t>支出总计</w:t>
            </w:r>
          </w:p>
        </w:tc>
        <w:tc>
          <w:tcPr>
            <w:tcW w:w="2126" w:type="dxa"/>
            <w:vAlign w:val="center"/>
          </w:tcPr>
          <w:p>
            <w:pPr>
              <w:pStyle w:val="16"/>
            </w:pPr>
            <w:r>
              <w:t>476.24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476.24</w:t>
            </w:r>
          </w:p>
        </w:tc>
        <w:tc>
          <w:tcPr>
            <w:tcW w:w="1134" w:type="dxa"/>
            <w:vAlign w:val="center"/>
          </w:tcPr>
          <w:p>
            <w:pPr>
              <w:pStyle w:val="16"/>
            </w:pPr>
            <w:r>
              <w:t>476.24</w:t>
            </w:r>
          </w:p>
        </w:tc>
        <w:tc>
          <w:tcPr>
            <w:tcW w:w="1134" w:type="dxa"/>
            <w:vAlign w:val="center"/>
          </w:tcPr>
          <w:p>
            <w:pPr>
              <w:pStyle w:val="16"/>
            </w:pPr>
            <w:r>
              <w:t>476.24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476.24</w:t>
            </w:r>
          </w:p>
        </w:tc>
        <w:tc>
          <w:tcPr>
            <w:tcW w:w="1134" w:type="dxa"/>
            <w:vAlign w:val="center"/>
          </w:tcPr>
          <w:p>
            <w:pPr>
              <w:pStyle w:val="12"/>
            </w:pPr>
            <w:r>
              <w:t>476.24</w:t>
            </w:r>
          </w:p>
        </w:tc>
        <w:tc>
          <w:tcPr>
            <w:tcW w:w="1134" w:type="dxa"/>
            <w:vAlign w:val="center"/>
          </w:tcPr>
          <w:p>
            <w:pPr>
              <w:pStyle w:val="12"/>
            </w:pPr>
            <w:r>
              <w:t>476.24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20128</w:t>
            </w:r>
          </w:p>
        </w:tc>
        <w:tc>
          <w:tcPr>
            <w:tcW w:w="1559" w:type="dxa"/>
            <w:vAlign w:val="center"/>
          </w:tcPr>
          <w:p>
            <w:pPr>
              <w:pStyle w:val="13"/>
            </w:pPr>
            <w:r>
              <w:t>民主党派及工商联事务</w:t>
            </w:r>
          </w:p>
        </w:tc>
        <w:tc>
          <w:tcPr>
            <w:tcW w:w="1134" w:type="dxa"/>
            <w:vAlign w:val="center"/>
          </w:tcPr>
          <w:p>
            <w:pPr>
              <w:pStyle w:val="12"/>
            </w:pPr>
            <w:r>
              <w:t>476.24</w:t>
            </w:r>
          </w:p>
        </w:tc>
        <w:tc>
          <w:tcPr>
            <w:tcW w:w="1134" w:type="dxa"/>
            <w:vAlign w:val="center"/>
          </w:tcPr>
          <w:p>
            <w:pPr>
              <w:pStyle w:val="12"/>
            </w:pPr>
            <w:r>
              <w:t>476.24</w:t>
            </w:r>
          </w:p>
        </w:tc>
        <w:tc>
          <w:tcPr>
            <w:tcW w:w="1134" w:type="dxa"/>
            <w:vAlign w:val="center"/>
          </w:tcPr>
          <w:p>
            <w:pPr>
              <w:pStyle w:val="12"/>
            </w:pPr>
            <w:r>
              <w:t>476.24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2012801</w:t>
            </w:r>
          </w:p>
        </w:tc>
        <w:tc>
          <w:tcPr>
            <w:tcW w:w="1559" w:type="dxa"/>
            <w:vAlign w:val="center"/>
          </w:tcPr>
          <w:p>
            <w:pPr>
              <w:pStyle w:val="13"/>
            </w:pPr>
            <w:r>
              <w:t>行政运行</w:t>
            </w:r>
          </w:p>
        </w:tc>
        <w:tc>
          <w:tcPr>
            <w:tcW w:w="1134" w:type="dxa"/>
            <w:vAlign w:val="center"/>
          </w:tcPr>
          <w:p>
            <w:pPr>
              <w:pStyle w:val="12"/>
            </w:pPr>
            <w:r>
              <w:t>368.24</w:t>
            </w:r>
          </w:p>
        </w:tc>
        <w:tc>
          <w:tcPr>
            <w:tcW w:w="1134" w:type="dxa"/>
            <w:vAlign w:val="center"/>
          </w:tcPr>
          <w:p>
            <w:pPr>
              <w:pStyle w:val="12"/>
            </w:pPr>
            <w:r>
              <w:t>368.24</w:t>
            </w:r>
          </w:p>
        </w:tc>
        <w:tc>
          <w:tcPr>
            <w:tcW w:w="1134" w:type="dxa"/>
            <w:vAlign w:val="center"/>
          </w:tcPr>
          <w:p>
            <w:pPr>
              <w:pStyle w:val="12"/>
            </w:pPr>
            <w:r>
              <w:t>368.24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2012804</w:t>
            </w:r>
          </w:p>
        </w:tc>
        <w:tc>
          <w:tcPr>
            <w:tcW w:w="1559" w:type="dxa"/>
            <w:vAlign w:val="center"/>
          </w:tcPr>
          <w:p>
            <w:pPr>
              <w:pStyle w:val="13"/>
            </w:pPr>
            <w:r>
              <w:t>参政议政</w:t>
            </w:r>
          </w:p>
        </w:tc>
        <w:tc>
          <w:tcPr>
            <w:tcW w:w="1134" w:type="dxa"/>
            <w:vAlign w:val="center"/>
          </w:tcPr>
          <w:p>
            <w:pPr>
              <w:pStyle w:val="12"/>
            </w:pPr>
            <w:r>
              <w:t>108.00</w:t>
            </w:r>
          </w:p>
        </w:tc>
        <w:tc>
          <w:tcPr>
            <w:tcW w:w="1134" w:type="dxa"/>
            <w:vAlign w:val="center"/>
          </w:tcPr>
          <w:p>
            <w:pPr>
              <w:pStyle w:val="12"/>
            </w:pPr>
            <w:r>
              <w:t>108.00</w:t>
            </w:r>
          </w:p>
        </w:tc>
        <w:tc>
          <w:tcPr>
            <w:tcW w:w="1134" w:type="dxa"/>
            <w:vAlign w:val="center"/>
          </w:tcPr>
          <w:p>
            <w:pPr>
              <w:pStyle w:val="12"/>
            </w:pPr>
            <w:r>
              <w:t>108.00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476.24</w:t>
            </w:r>
          </w:p>
        </w:tc>
        <w:tc>
          <w:tcPr>
            <w:tcW w:w="1361" w:type="dxa"/>
            <w:vAlign w:val="center"/>
          </w:tcPr>
          <w:p>
            <w:pPr>
              <w:pStyle w:val="16"/>
            </w:pPr>
            <w:r>
              <w:t>368.24</w:t>
            </w:r>
          </w:p>
        </w:tc>
        <w:tc>
          <w:tcPr>
            <w:tcW w:w="1361" w:type="dxa"/>
            <w:vAlign w:val="center"/>
          </w:tcPr>
          <w:p>
            <w:pPr>
              <w:pStyle w:val="16"/>
            </w:pPr>
            <w:r>
              <w:t>108.00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476.24</w:t>
            </w:r>
          </w:p>
        </w:tc>
        <w:tc>
          <w:tcPr>
            <w:tcW w:w="1361" w:type="dxa"/>
            <w:vAlign w:val="center"/>
          </w:tcPr>
          <w:p>
            <w:pPr>
              <w:pStyle w:val="12"/>
            </w:pPr>
            <w:r>
              <w:t>368.24</w:t>
            </w:r>
          </w:p>
        </w:tc>
        <w:tc>
          <w:tcPr>
            <w:tcW w:w="1361" w:type="dxa"/>
            <w:vAlign w:val="center"/>
          </w:tcPr>
          <w:p>
            <w:pPr>
              <w:pStyle w:val="12"/>
            </w:pPr>
            <w:r>
              <w:t>108.00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20128</w:t>
            </w:r>
          </w:p>
        </w:tc>
        <w:tc>
          <w:tcPr>
            <w:tcW w:w="4535" w:type="dxa"/>
            <w:vAlign w:val="center"/>
          </w:tcPr>
          <w:p>
            <w:pPr>
              <w:pStyle w:val="13"/>
            </w:pPr>
            <w:r>
              <w:t>民主党派及工商联事务</w:t>
            </w:r>
          </w:p>
        </w:tc>
        <w:tc>
          <w:tcPr>
            <w:tcW w:w="1361" w:type="dxa"/>
            <w:vAlign w:val="center"/>
          </w:tcPr>
          <w:p>
            <w:pPr>
              <w:pStyle w:val="12"/>
            </w:pPr>
            <w:r>
              <w:t>476.24</w:t>
            </w:r>
          </w:p>
        </w:tc>
        <w:tc>
          <w:tcPr>
            <w:tcW w:w="1361" w:type="dxa"/>
            <w:vAlign w:val="center"/>
          </w:tcPr>
          <w:p>
            <w:pPr>
              <w:pStyle w:val="12"/>
            </w:pPr>
            <w:r>
              <w:t>368.24</w:t>
            </w:r>
          </w:p>
        </w:tc>
        <w:tc>
          <w:tcPr>
            <w:tcW w:w="1361" w:type="dxa"/>
            <w:vAlign w:val="center"/>
          </w:tcPr>
          <w:p>
            <w:pPr>
              <w:pStyle w:val="12"/>
            </w:pPr>
            <w:r>
              <w:t>108.00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2012801</w:t>
            </w:r>
          </w:p>
        </w:tc>
        <w:tc>
          <w:tcPr>
            <w:tcW w:w="4535" w:type="dxa"/>
            <w:vAlign w:val="center"/>
          </w:tcPr>
          <w:p>
            <w:pPr>
              <w:pStyle w:val="13"/>
            </w:pPr>
            <w:r>
              <w:t>行政运行</w:t>
            </w:r>
          </w:p>
        </w:tc>
        <w:tc>
          <w:tcPr>
            <w:tcW w:w="1361" w:type="dxa"/>
            <w:vAlign w:val="center"/>
          </w:tcPr>
          <w:p>
            <w:pPr>
              <w:pStyle w:val="12"/>
            </w:pPr>
            <w:r>
              <w:t>368.24</w:t>
            </w:r>
          </w:p>
        </w:tc>
        <w:tc>
          <w:tcPr>
            <w:tcW w:w="1361" w:type="dxa"/>
            <w:vAlign w:val="center"/>
          </w:tcPr>
          <w:p>
            <w:pPr>
              <w:pStyle w:val="12"/>
            </w:pPr>
            <w:r>
              <w:t>368.24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2012804</w:t>
            </w:r>
          </w:p>
        </w:tc>
        <w:tc>
          <w:tcPr>
            <w:tcW w:w="4535" w:type="dxa"/>
            <w:vAlign w:val="center"/>
          </w:tcPr>
          <w:p>
            <w:pPr>
              <w:pStyle w:val="13"/>
            </w:pPr>
            <w:r>
              <w:t>参政议政</w:t>
            </w:r>
          </w:p>
        </w:tc>
        <w:tc>
          <w:tcPr>
            <w:tcW w:w="1361" w:type="dxa"/>
            <w:vAlign w:val="center"/>
          </w:tcPr>
          <w:p>
            <w:pPr>
              <w:pStyle w:val="12"/>
            </w:pPr>
            <w:r>
              <w:t>108.00</w:t>
            </w:r>
          </w:p>
        </w:tc>
        <w:tc>
          <w:tcPr>
            <w:tcW w:w="1361" w:type="dxa"/>
            <w:vAlign w:val="center"/>
          </w:tcPr>
          <w:p>
            <w:pPr>
              <w:pStyle w:val="12"/>
            </w:pPr>
          </w:p>
        </w:tc>
        <w:tc>
          <w:tcPr>
            <w:tcW w:w="1361" w:type="dxa"/>
            <w:vAlign w:val="center"/>
          </w:tcPr>
          <w:p>
            <w:pPr>
              <w:pStyle w:val="12"/>
            </w:pPr>
            <w:r>
              <w:t>108.00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476.24</w:t>
            </w:r>
          </w:p>
        </w:tc>
        <w:tc>
          <w:tcPr>
            <w:tcW w:w="3402" w:type="dxa"/>
            <w:vAlign w:val="center"/>
          </w:tcPr>
          <w:p>
            <w:pPr>
              <w:pStyle w:val="13"/>
            </w:pPr>
            <w:r>
              <w:t>一、一般公共服务支出</w:t>
            </w:r>
          </w:p>
        </w:tc>
        <w:tc>
          <w:tcPr>
            <w:tcW w:w="1474" w:type="dxa"/>
            <w:vAlign w:val="center"/>
          </w:tcPr>
          <w:p>
            <w:pPr>
              <w:pStyle w:val="12"/>
            </w:pPr>
            <w:r>
              <w:t>476.24</w:t>
            </w:r>
          </w:p>
        </w:tc>
        <w:tc>
          <w:tcPr>
            <w:tcW w:w="1474" w:type="dxa"/>
            <w:vAlign w:val="center"/>
          </w:tcPr>
          <w:p>
            <w:pPr>
              <w:pStyle w:val="12"/>
            </w:pPr>
            <w:r>
              <w:t>476.24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476.24</w:t>
            </w:r>
          </w:p>
        </w:tc>
        <w:tc>
          <w:tcPr>
            <w:tcW w:w="3402" w:type="dxa"/>
            <w:vAlign w:val="center"/>
          </w:tcPr>
          <w:p>
            <w:pPr>
              <w:pStyle w:val="15"/>
            </w:pPr>
            <w:r>
              <w:t>本年支出合计</w:t>
            </w:r>
          </w:p>
        </w:tc>
        <w:tc>
          <w:tcPr>
            <w:tcW w:w="1474" w:type="dxa"/>
            <w:vAlign w:val="center"/>
          </w:tcPr>
          <w:p>
            <w:pPr>
              <w:pStyle w:val="16"/>
            </w:pPr>
            <w:r>
              <w:t>476.24</w:t>
            </w:r>
          </w:p>
        </w:tc>
        <w:tc>
          <w:tcPr>
            <w:tcW w:w="1474" w:type="dxa"/>
            <w:vAlign w:val="center"/>
          </w:tcPr>
          <w:p>
            <w:pPr>
              <w:pStyle w:val="16"/>
            </w:pPr>
            <w:r>
              <w:t>476.24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476.24</w:t>
            </w:r>
          </w:p>
        </w:tc>
        <w:tc>
          <w:tcPr>
            <w:tcW w:w="3402" w:type="dxa"/>
            <w:vAlign w:val="center"/>
          </w:tcPr>
          <w:p>
            <w:pPr>
              <w:pStyle w:val="15"/>
            </w:pPr>
            <w:r>
              <w:t>支出总计</w:t>
            </w:r>
          </w:p>
        </w:tc>
        <w:tc>
          <w:tcPr>
            <w:tcW w:w="1474" w:type="dxa"/>
            <w:vAlign w:val="center"/>
          </w:tcPr>
          <w:p>
            <w:pPr>
              <w:pStyle w:val="16"/>
            </w:pPr>
            <w:r>
              <w:t>476.24</w:t>
            </w:r>
          </w:p>
        </w:tc>
        <w:tc>
          <w:tcPr>
            <w:tcW w:w="1474" w:type="dxa"/>
            <w:vAlign w:val="center"/>
          </w:tcPr>
          <w:p>
            <w:pPr>
              <w:pStyle w:val="16"/>
            </w:pPr>
            <w:r>
              <w:t>476.24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476.24</w:t>
            </w:r>
          </w:p>
        </w:tc>
        <w:tc>
          <w:tcPr>
            <w:tcW w:w="2551" w:type="dxa"/>
            <w:vAlign w:val="center"/>
          </w:tcPr>
          <w:p>
            <w:pPr>
              <w:pStyle w:val="16"/>
            </w:pPr>
            <w:r>
              <w:t>368.24</w:t>
            </w:r>
          </w:p>
        </w:tc>
        <w:tc>
          <w:tcPr>
            <w:tcW w:w="2551" w:type="dxa"/>
            <w:vAlign w:val="center"/>
          </w:tcPr>
          <w:p>
            <w:pPr>
              <w:pStyle w:val="16"/>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476.24</w:t>
            </w:r>
          </w:p>
        </w:tc>
        <w:tc>
          <w:tcPr>
            <w:tcW w:w="2551" w:type="dxa"/>
            <w:vAlign w:val="center"/>
          </w:tcPr>
          <w:p>
            <w:pPr>
              <w:pStyle w:val="12"/>
            </w:pPr>
            <w:r>
              <w:t>368.24</w:t>
            </w:r>
          </w:p>
        </w:tc>
        <w:tc>
          <w:tcPr>
            <w:tcW w:w="2551" w:type="dxa"/>
            <w:vAlign w:val="center"/>
          </w:tcPr>
          <w:p>
            <w:pPr>
              <w:pStyle w:val="12"/>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20128</w:t>
            </w:r>
          </w:p>
        </w:tc>
        <w:tc>
          <w:tcPr>
            <w:tcW w:w="4535" w:type="dxa"/>
            <w:vAlign w:val="center"/>
          </w:tcPr>
          <w:p>
            <w:pPr>
              <w:pStyle w:val="13"/>
            </w:pPr>
            <w:r>
              <w:t>民主党派及工商联事务</w:t>
            </w:r>
          </w:p>
        </w:tc>
        <w:tc>
          <w:tcPr>
            <w:tcW w:w="2551" w:type="dxa"/>
            <w:vAlign w:val="center"/>
          </w:tcPr>
          <w:p>
            <w:pPr>
              <w:pStyle w:val="12"/>
            </w:pPr>
            <w:r>
              <w:t>476.24</w:t>
            </w:r>
          </w:p>
        </w:tc>
        <w:tc>
          <w:tcPr>
            <w:tcW w:w="2551" w:type="dxa"/>
            <w:vAlign w:val="center"/>
          </w:tcPr>
          <w:p>
            <w:pPr>
              <w:pStyle w:val="12"/>
            </w:pPr>
            <w:r>
              <w:t>368.24</w:t>
            </w:r>
          </w:p>
        </w:tc>
        <w:tc>
          <w:tcPr>
            <w:tcW w:w="2551" w:type="dxa"/>
            <w:vAlign w:val="center"/>
          </w:tcPr>
          <w:p>
            <w:pPr>
              <w:pStyle w:val="12"/>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2012801</w:t>
            </w:r>
          </w:p>
        </w:tc>
        <w:tc>
          <w:tcPr>
            <w:tcW w:w="4535" w:type="dxa"/>
            <w:vAlign w:val="center"/>
          </w:tcPr>
          <w:p>
            <w:pPr>
              <w:pStyle w:val="13"/>
            </w:pPr>
            <w:r>
              <w:t>行政运行</w:t>
            </w:r>
          </w:p>
        </w:tc>
        <w:tc>
          <w:tcPr>
            <w:tcW w:w="2551" w:type="dxa"/>
            <w:vAlign w:val="center"/>
          </w:tcPr>
          <w:p>
            <w:pPr>
              <w:pStyle w:val="12"/>
            </w:pPr>
            <w:r>
              <w:t>368.24</w:t>
            </w:r>
          </w:p>
        </w:tc>
        <w:tc>
          <w:tcPr>
            <w:tcW w:w="2551" w:type="dxa"/>
            <w:vAlign w:val="center"/>
          </w:tcPr>
          <w:p>
            <w:pPr>
              <w:pStyle w:val="12"/>
            </w:pPr>
            <w:r>
              <w:t>368.24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2012804</w:t>
            </w:r>
          </w:p>
        </w:tc>
        <w:tc>
          <w:tcPr>
            <w:tcW w:w="4535" w:type="dxa"/>
            <w:vAlign w:val="center"/>
          </w:tcPr>
          <w:p>
            <w:pPr>
              <w:pStyle w:val="13"/>
            </w:pPr>
            <w:r>
              <w:t>参政议政</w:t>
            </w:r>
          </w:p>
        </w:tc>
        <w:tc>
          <w:tcPr>
            <w:tcW w:w="2551" w:type="dxa"/>
            <w:vAlign w:val="center"/>
          </w:tcPr>
          <w:p>
            <w:pPr>
              <w:pStyle w:val="12"/>
            </w:pPr>
            <w:r>
              <w:t>108.00</w:t>
            </w:r>
          </w:p>
        </w:tc>
        <w:tc>
          <w:tcPr>
            <w:tcW w:w="2551" w:type="dxa"/>
            <w:vAlign w:val="center"/>
          </w:tcPr>
          <w:p>
            <w:pPr>
              <w:pStyle w:val="12"/>
            </w:pPr>
          </w:p>
        </w:tc>
        <w:tc>
          <w:tcPr>
            <w:tcW w:w="2551" w:type="dxa"/>
            <w:vAlign w:val="center"/>
          </w:tcPr>
          <w:p>
            <w:pPr>
              <w:pStyle w:val="12"/>
            </w:pPr>
            <w:r>
              <w:t>108.00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368.24</w:t>
            </w:r>
          </w:p>
        </w:tc>
        <w:tc>
          <w:tcPr>
            <w:tcW w:w="2551" w:type="dxa"/>
            <w:vAlign w:val="center"/>
          </w:tcPr>
          <w:p>
            <w:pPr>
              <w:pStyle w:val="16"/>
            </w:pPr>
            <w:r>
              <w:t>312.15</w:t>
            </w:r>
          </w:p>
        </w:tc>
        <w:tc>
          <w:tcPr>
            <w:tcW w:w="2551" w:type="dxa"/>
            <w:vAlign w:val="center"/>
          </w:tcPr>
          <w:p>
            <w:pPr>
              <w:pStyle w:val="16"/>
            </w:pPr>
            <w:r>
              <w:t>56.09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260.08</w:t>
            </w:r>
          </w:p>
        </w:tc>
        <w:tc>
          <w:tcPr>
            <w:tcW w:w="2551" w:type="dxa"/>
            <w:vAlign w:val="center"/>
          </w:tcPr>
          <w:p>
            <w:pPr>
              <w:pStyle w:val="12"/>
            </w:pPr>
            <w:r>
              <w:t>260.08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75.94</w:t>
            </w:r>
          </w:p>
        </w:tc>
        <w:tc>
          <w:tcPr>
            <w:tcW w:w="2551" w:type="dxa"/>
            <w:vAlign w:val="center"/>
          </w:tcPr>
          <w:p>
            <w:pPr>
              <w:pStyle w:val="12"/>
            </w:pPr>
            <w:r>
              <w:t>75.94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55.03</w:t>
            </w:r>
          </w:p>
        </w:tc>
        <w:tc>
          <w:tcPr>
            <w:tcW w:w="2551" w:type="dxa"/>
            <w:vAlign w:val="center"/>
          </w:tcPr>
          <w:p>
            <w:pPr>
              <w:pStyle w:val="12"/>
            </w:pPr>
            <w:r>
              <w:t>55.03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56.78</w:t>
            </w:r>
          </w:p>
        </w:tc>
        <w:tc>
          <w:tcPr>
            <w:tcW w:w="2551" w:type="dxa"/>
            <w:vAlign w:val="center"/>
          </w:tcPr>
          <w:p>
            <w:pPr>
              <w:pStyle w:val="12"/>
            </w:pPr>
            <w:r>
              <w:t>56.78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25.27</w:t>
            </w:r>
          </w:p>
        </w:tc>
        <w:tc>
          <w:tcPr>
            <w:tcW w:w="2551" w:type="dxa"/>
            <w:vAlign w:val="center"/>
          </w:tcPr>
          <w:p>
            <w:pPr>
              <w:pStyle w:val="12"/>
            </w:pPr>
            <w:r>
              <w:t>25.27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9.48</w:t>
            </w:r>
          </w:p>
        </w:tc>
        <w:tc>
          <w:tcPr>
            <w:tcW w:w="2551" w:type="dxa"/>
            <w:vAlign w:val="center"/>
          </w:tcPr>
          <w:p>
            <w:pPr>
              <w:pStyle w:val="12"/>
            </w:pPr>
            <w:r>
              <w:t>9.48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12.33</w:t>
            </w:r>
          </w:p>
        </w:tc>
        <w:tc>
          <w:tcPr>
            <w:tcW w:w="2551" w:type="dxa"/>
            <w:vAlign w:val="center"/>
          </w:tcPr>
          <w:p>
            <w:pPr>
              <w:pStyle w:val="12"/>
            </w:pPr>
            <w:r>
              <w:t>12.33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0.62</w:t>
            </w:r>
          </w:p>
        </w:tc>
        <w:tc>
          <w:tcPr>
            <w:tcW w:w="2551" w:type="dxa"/>
            <w:vAlign w:val="center"/>
          </w:tcPr>
          <w:p>
            <w:pPr>
              <w:pStyle w:val="12"/>
            </w:pPr>
            <w:r>
              <w:t>0.62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20.88</w:t>
            </w:r>
          </w:p>
        </w:tc>
        <w:tc>
          <w:tcPr>
            <w:tcW w:w="2551" w:type="dxa"/>
            <w:vAlign w:val="center"/>
          </w:tcPr>
          <w:p>
            <w:pPr>
              <w:pStyle w:val="12"/>
            </w:pPr>
            <w:r>
              <w:t>20.88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3.75</w:t>
            </w:r>
          </w:p>
        </w:tc>
        <w:tc>
          <w:tcPr>
            <w:tcW w:w="2551" w:type="dxa"/>
            <w:vAlign w:val="center"/>
          </w:tcPr>
          <w:p>
            <w:pPr>
              <w:pStyle w:val="12"/>
            </w:pPr>
            <w:r>
              <w:t>3.75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56.09</w:t>
            </w:r>
          </w:p>
        </w:tc>
        <w:tc>
          <w:tcPr>
            <w:tcW w:w="2551" w:type="dxa"/>
            <w:vAlign w:val="center"/>
          </w:tcPr>
          <w:p>
            <w:pPr>
              <w:pStyle w:val="12"/>
            </w:pPr>
          </w:p>
        </w:tc>
        <w:tc>
          <w:tcPr>
            <w:tcW w:w="2551" w:type="dxa"/>
            <w:vAlign w:val="center"/>
          </w:tcPr>
          <w:p>
            <w:pPr>
              <w:pStyle w:val="12"/>
            </w:pPr>
            <w:r>
              <w:t>56.09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2.13</w:t>
            </w:r>
          </w:p>
        </w:tc>
        <w:tc>
          <w:tcPr>
            <w:tcW w:w="2551" w:type="dxa"/>
            <w:vAlign w:val="center"/>
          </w:tcPr>
          <w:p>
            <w:pPr>
              <w:pStyle w:val="12"/>
            </w:pPr>
          </w:p>
        </w:tc>
        <w:tc>
          <w:tcPr>
            <w:tcW w:w="2551" w:type="dxa"/>
            <w:vAlign w:val="center"/>
          </w:tcPr>
          <w:p>
            <w:pPr>
              <w:pStyle w:val="12"/>
            </w:pPr>
            <w: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0.31</w:t>
            </w:r>
          </w:p>
        </w:tc>
        <w:tc>
          <w:tcPr>
            <w:tcW w:w="2551" w:type="dxa"/>
            <w:vAlign w:val="center"/>
          </w:tcPr>
          <w:p>
            <w:pPr>
              <w:pStyle w:val="12"/>
            </w:pPr>
          </w:p>
        </w:tc>
        <w:tc>
          <w:tcPr>
            <w:tcW w:w="2551" w:type="dxa"/>
            <w:vAlign w:val="center"/>
          </w:tcPr>
          <w:p>
            <w:pPr>
              <w:pStyle w:val="12"/>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0.39</w:t>
            </w:r>
          </w:p>
        </w:tc>
        <w:tc>
          <w:tcPr>
            <w:tcW w:w="2551" w:type="dxa"/>
            <w:vAlign w:val="center"/>
          </w:tcPr>
          <w:p>
            <w:pPr>
              <w:pStyle w:val="12"/>
            </w:pPr>
          </w:p>
        </w:tc>
        <w:tc>
          <w:tcPr>
            <w:tcW w:w="2551" w:type="dxa"/>
            <w:vAlign w:val="center"/>
          </w:tcPr>
          <w:p>
            <w:pPr>
              <w:pStyle w:val="12"/>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0.88</w:t>
            </w:r>
          </w:p>
        </w:tc>
        <w:tc>
          <w:tcPr>
            <w:tcW w:w="2551" w:type="dxa"/>
            <w:vAlign w:val="center"/>
          </w:tcPr>
          <w:p>
            <w:pPr>
              <w:pStyle w:val="12"/>
            </w:pPr>
          </w:p>
        </w:tc>
        <w:tc>
          <w:tcPr>
            <w:tcW w:w="2551" w:type="dxa"/>
            <w:vAlign w:val="center"/>
          </w:tcPr>
          <w:p>
            <w:pPr>
              <w:pStyle w:val="12"/>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7.67</w:t>
            </w:r>
          </w:p>
        </w:tc>
        <w:tc>
          <w:tcPr>
            <w:tcW w:w="2551" w:type="dxa"/>
            <w:vAlign w:val="center"/>
          </w:tcPr>
          <w:p>
            <w:pPr>
              <w:pStyle w:val="12"/>
            </w:pPr>
          </w:p>
        </w:tc>
        <w:tc>
          <w:tcPr>
            <w:tcW w:w="2551" w:type="dxa"/>
            <w:vAlign w:val="center"/>
          </w:tcPr>
          <w:p>
            <w:pPr>
              <w:pStyle w:val="12"/>
            </w:pPr>
            <w:r>
              <w:t>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1.54</w:t>
            </w:r>
          </w:p>
        </w:tc>
        <w:tc>
          <w:tcPr>
            <w:tcW w:w="2551" w:type="dxa"/>
            <w:vAlign w:val="center"/>
          </w:tcPr>
          <w:p>
            <w:pPr>
              <w:pStyle w:val="12"/>
            </w:pPr>
          </w:p>
        </w:tc>
        <w:tc>
          <w:tcPr>
            <w:tcW w:w="2551" w:type="dxa"/>
            <w:vAlign w:val="center"/>
          </w:tcPr>
          <w:p>
            <w:pPr>
              <w:pStyle w:val="12"/>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1.62</w:t>
            </w:r>
          </w:p>
        </w:tc>
        <w:tc>
          <w:tcPr>
            <w:tcW w:w="2551" w:type="dxa"/>
            <w:vAlign w:val="center"/>
          </w:tcPr>
          <w:p>
            <w:pPr>
              <w:pStyle w:val="12"/>
            </w:pPr>
          </w:p>
        </w:tc>
        <w:tc>
          <w:tcPr>
            <w:tcW w:w="2551" w:type="dxa"/>
            <w:vAlign w:val="center"/>
          </w:tcPr>
          <w:p>
            <w:pPr>
              <w:pStyle w:val="12"/>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0.69</w:t>
            </w:r>
          </w:p>
        </w:tc>
        <w:tc>
          <w:tcPr>
            <w:tcW w:w="2551" w:type="dxa"/>
            <w:vAlign w:val="center"/>
          </w:tcPr>
          <w:p>
            <w:pPr>
              <w:pStyle w:val="12"/>
            </w:pPr>
          </w:p>
        </w:tc>
        <w:tc>
          <w:tcPr>
            <w:tcW w:w="2551" w:type="dxa"/>
            <w:vAlign w:val="center"/>
          </w:tcPr>
          <w:p>
            <w:pPr>
              <w:pStyle w:val="12"/>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1.10</w:t>
            </w:r>
          </w:p>
        </w:tc>
        <w:tc>
          <w:tcPr>
            <w:tcW w:w="2551" w:type="dxa"/>
            <w:vAlign w:val="center"/>
          </w:tcPr>
          <w:p>
            <w:pPr>
              <w:pStyle w:val="12"/>
            </w:pPr>
          </w:p>
        </w:tc>
        <w:tc>
          <w:tcPr>
            <w:tcW w:w="2551" w:type="dxa"/>
            <w:vAlign w:val="center"/>
          </w:tcPr>
          <w:p>
            <w:pPr>
              <w:pStyle w:val="12"/>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0.37</w:t>
            </w:r>
          </w:p>
        </w:tc>
        <w:tc>
          <w:tcPr>
            <w:tcW w:w="2551" w:type="dxa"/>
            <w:vAlign w:val="center"/>
          </w:tcPr>
          <w:p>
            <w:pPr>
              <w:pStyle w:val="12"/>
            </w:pPr>
          </w:p>
        </w:tc>
        <w:tc>
          <w:tcPr>
            <w:tcW w:w="2551" w:type="dxa"/>
            <w:vAlign w:val="center"/>
          </w:tcPr>
          <w:p>
            <w:pPr>
              <w:pStyle w:val="12"/>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1.42</w:t>
            </w:r>
          </w:p>
        </w:tc>
        <w:tc>
          <w:tcPr>
            <w:tcW w:w="2551" w:type="dxa"/>
            <w:vAlign w:val="center"/>
          </w:tcPr>
          <w:p>
            <w:pPr>
              <w:pStyle w:val="12"/>
            </w:pPr>
          </w:p>
        </w:tc>
        <w:tc>
          <w:tcPr>
            <w:tcW w:w="2551" w:type="dxa"/>
            <w:vAlign w:val="center"/>
          </w:tcPr>
          <w:p>
            <w:pPr>
              <w:pStyle w:val="12"/>
            </w:pPr>
            <w: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1.66</w:t>
            </w:r>
          </w:p>
        </w:tc>
        <w:tc>
          <w:tcPr>
            <w:tcW w:w="2551" w:type="dxa"/>
            <w:vAlign w:val="center"/>
          </w:tcPr>
          <w:p>
            <w:pPr>
              <w:pStyle w:val="12"/>
            </w:pPr>
          </w:p>
        </w:tc>
        <w:tc>
          <w:tcPr>
            <w:tcW w:w="2551" w:type="dxa"/>
            <w:vAlign w:val="center"/>
          </w:tcPr>
          <w:p>
            <w:pPr>
              <w:pStyle w:val="12"/>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9.68</w:t>
            </w:r>
          </w:p>
        </w:tc>
        <w:tc>
          <w:tcPr>
            <w:tcW w:w="2551" w:type="dxa"/>
            <w:vAlign w:val="center"/>
          </w:tcPr>
          <w:p>
            <w:pPr>
              <w:pStyle w:val="12"/>
            </w:pPr>
          </w:p>
        </w:tc>
        <w:tc>
          <w:tcPr>
            <w:tcW w:w="2551" w:type="dxa"/>
            <w:vAlign w:val="center"/>
          </w:tcPr>
          <w:p>
            <w:pPr>
              <w:pStyle w:val="12"/>
            </w:pPr>
            <w:r>
              <w:t>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10.08</w:t>
            </w:r>
          </w:p>
        </w:tc>
        <w:tc>
          <w:tcPr>
            <w:tcW w:w="2551" w:type="dxa"/>
            <w:vAlign w:val="center"/>
          </w:tcPr>
          <w:p>
            <w:pPr>
              <w:pStyle w:val="12"/>
            </w:pPr>
          </w:p>
        </w:tc>
        <w:tc>
          <w:tcPr>
            <w:tcW w:w="2551" w:type="dxa"/>
            <w:vAlign w:val="center"/>
          </w:tcPr>
          <w:p>
            <w:pPr>
              <w:pStyle w:val="12"/>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16.55</w:t>
            </w:r>
          </w:p>
        </w:tc>
        <w:tc>
          <w:tcPr>
            <w:tcW w:w="2551" w:type="dxa"/>
            <w:vAlign w:val="center"/>
          </w:tcPr>
          <w:p>
            <w:pPr>
              <w:pStyle w:val="12"/>
            </w:pPr>
          </w:p>
        </w:tc>
        <w:tc>
          <w:tcPr>
            <w:tcW w:w="2551" w:type="dxa"/>
            <w:vAlign w:val="center"/>
          </w:tcPr>
          <w:p>
            <w:pPr>
              <w:pStyle w:val="12"/>
            </w:pPr>
            <w:r>
              <w:t>16.55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52.07</w:t>
            </w:r>
          </w:p>
        </w:tc>
        <w:tc>
          <w:tcPr>
            <w:tcW w:w="2551" w:type="dxa"/>
            <w:vAlign w:val="center"/>
          </w:tcPr>
          <w:p>
            <w:pPr>
              <w:pStyle w:val="12"/>
            </w:pPr>
            <w:r>
              <w:t>52.07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50.94</w:t>
            </w:r>
          </w:p>
        </w:tc>
        <w:tc>
          <w:tcPr>
            <w:tcW w:w="2551" w:type="dxa"/>
            <w:vAlign w:val="center"/>
          </w:tcPr>
          <w:p>
            <w:pPr>
              <w:pStyle w:val="12"/>
            </w:pPr>
            <w:r>
              <w:t>50.94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0.63</w:t>
            </w:r>
          </w:p>
        </w:tc>
        <w:tc>
          <w:tcPr>
            <w:tcW w:w="2551" w:type="dxa"/>
            <w:vAlign w:val="center"/>
          </w:tcPr>
          <w:p>
            <w:pPr>
              <w:pStyle w:val="12"/>
            </w:pPr>
            <w:r>
              <w:t>0.63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0.50</w:t>
            </w:r>
          </w:p>
        </w:tc>
        <w:tc>
          <w:tcPr>
            <w:tcW w:w="2551" w:type="dxa"/>
            <w:vAlign w:val="center"/>
          </w:tcPr>
          <w:p>
            <w:pPr>
              <w:pStyle w:val="12"/>
            </w:pPr>
            <w:r>
              <w:t>0.50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10.05</w:t>
            </w:r>
          </w:p>
        </w:tc>
        <w:tc>
          <w:tcPr>
            <w:tcW w:w="2381" w:type="dxa"/>
            <w:vAlign w:val="center"/>
          </w:tcPr>
          <w:p>
            <w:pPr>
              <w:pStyle w:val="16"/>
            </w:pPr>
            <w:r>
              <w:t>10.05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10.05</w:t>
            </w:r>
          </w:p>
        </w:tc>
        <w:tc>
          <w:tcPr>
            <w:tcW w:w="2381" w:type="dxa"/>
            <w:vAlign w:val="center"/>
          </w:tcPr>
          <w:p>
            <w:pPr>
              <w:pStyle w:val="12"/>
            </w:pPr>
            <w:r>
              <w:t>10.05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9.68</w:t>
            </w:r>
          </w:p>
        </w:tc>
        <w:tc>
          <w:tcPr>
            <w:tcW w:w="2381" w:type="dxa"/>
            <w:vAlign w:val="center"/>
          </w:tcPr>
          <w:p>
            <w:pPr>
              <w:pStyle w:val="12"/>
            </w:pPr>
            <w:r>
              <w:t>9.68</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9.68</w:t>
            </w:r>
          </w:p>
        </w:tc>
        <w:tc>
          <w:tcPr>
            <w:tcW w:w="2381" w:type="dxa"/>
            <w:vAlign w:val="center"/>
          </w:tcPr>
          <w:p>
            <w:pPr>
              <w:pStyle w:val="12"/>
            </w:pPr>
            <w:r>
              <w:t>9.68</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0.37</w:t>
            </w:r>
          </w:p>
        </w:tc>
        <w:tc>
          <w:tcPr>
            <w:tcW w:w="2381" w:type="dxa"/>
            <w:vAlign w:val="center"/>
          </w:tcPr>
          <w:p>
            <w:pPr>
              <w:pStyle w:val="12"/>
            </w:pPr>
            <w:r>
              <w:t>0.37</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中国农工民主党沧州市委员会2024年部门预算信息公开情况说明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中国农工民主党沧州市委员会2024年部门预算信息公开情况说明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按照《中华人民共和国预算法》、《地方预决算公开操作规程》和《关于进一步推进预算公开工作的实施意见》规定，现将中国农工民主党沧州市委员会2024年部门预算公开如下：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中国农工民主党沧州市委员会的主要职责</w:t>
      </w:r>
    </w:p>
    <w:p>
      <w:pPr>
        <w:pStyle w:val="18"/>
      </w:pPr>
      <w:r>
        <w:t>中国农工民主党沧州市委员会包含四个民主党派，其中有：民革沧州市委员会、民盟沧州市委员会、农工党沧州市委员会、九三学社沧州市委员会。</w:t>
      </w:r>
    </w:p>
    <w:p>
      <w:pPr>
        <w:pStyle w:val="18"/>
      </w:pPr>
      <w:r>
        <w:t xml:space="preserve">（一）民革沧州市委员会的主要职责  </w:t>
      </w:r>
    </w:p>
    <w:p>
      <w:pPr>
        <w:pStyle w:val="18"/>
      </w:pPr>
      <w:r>
        <w:t>民革沧州市委员会下设办公室。</w:t>
      </w:r>
    </w:p>
    <w:p>
      <w:pPr>
        <w:pStyle w:val="18"/>
      </w:pPr>
      <w:r>
        <w:t>办公室的职责任务：负责机关内外的联系和综合协调工作，保证机关业务和行政工作的正常运转；负责各种重要文件、工作报告、工作总结的起草工作；负责办理民革沧州市委员会决定、决议的落实及交办的日常工作。</w:t>
      </w:r>
    </w:p>
    <w:p>
      <w:pPr>
        <w:pStyle w:val="18"/>
      </w:pPr>
      <w:r>
        <w:t>（二）民盟沧州市委员会的主要职责</w:t>
      </w:r>
    </w:p>
    <w:p>
      <w:pPr>
        <w:pStyle w:val="18"/>
      </w:pPr>
      <w:r>
        <w:t>民盟沧州市委员会下设办公室。</w:t>
      </w:r>
    </w:p>
    <w:p>
      <w:pPr>
        <w:pStyle w:val="18"/>
      </w:pPr>
      <w:r>
        <w:t>办公室的职责任务：负责机关内外的联系和综合协调工作，保证机关业务和行政工作的正常运转；负责各种重要文件、工作报告、工作总结的起草工作；负责办理民盟沧州市委员会决定、决议的落实及交办的日常工作。</w:t>
      </w:r>
    </w:p>
    <w:p>
      <w:pPr>
        <w:pStyle w:val="18"/>
      </w:pPr>
      <w:r>
        <w:t>（三）农工党沧州市委员会的主要职责</w:t>
      </w:r>
    </w:p>
    <w:p>
      <w:pPr>
        <w:pStyle w:val="18"/>
      </w:pPr>
      <w:r>
        <w:t>农工党沧州市委员会下设办公室。</w:t>
      </w:r>
    </w:p>
    <w:p>
      <w:pPr>
        <w:pStyle w:val="18"/>
      </w:pPr>
      <w:r>
        <w:t>办公室的职责任务：负责机关内外的联系和综合协调工作，保证机关业务和行政工作的正常运转；负责各种重要文件、工作报告、工作总结的起草工作；负责办理农工民主党沧州市委员会决定、决议的落实及交办的日常工作。</w:t>
      </w:r>
    </w:p>
    <w:p>
      <w:pPr>
        <w:pStyle w:val="18"/>
      </w:pPr>
      <w:r>
        <w:t>（四）九三学社沧州市委员会的主要职责</w:t>
      </w:r>
    </w:p>
    <w:p>
      <w:pPr>
        <w:pStyle w:val="18"/>
      </w:pPr>
      <w:r>
        <w:t>九三学社沧州市委员会下设办公室。</w:t>
      </w:r>
    </w:p>
    <w:p>
      <w:pPr>
        <w:pStyle w:val="18"/>
      </w:pPr>
      <w:r>
        <w:t>办公室的职责任务：负责机关内外的联系和综合协调工作，保证机关业务和行政工作的正常运转；负责各种重要文件、工作报告、工作总结的起草工作；负责办理九三学社沧州市委员会决定、决议的落实及交办的日常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中国农工民主党沧州市委员会本级</w:t>
            </w:r>
          </w:p>
        </w:tc>
        <w:tc>
          <w:tcPr>
            <w:tcW w:w="2464" w:type="dxa"/>
            <w:vAlign w:val="center"/>
          </w:tcPr>
          <w:p>
            <w:pPr>
              <w:pStyle w:val="14"/>
            </w:pPr>
            <w:r>
              <w:t>行政</w:t>
            </w:r>
          </w:p>
        </w:tc>
        <w:tc>
          <w:tcPr>
            <w:tcW w:w="2464" w:type="dxa"/>
            <w:vAlign w:val="center"/>
          </w:tcPr>
          <w:p>
            <w:pPr>
              <w:pStyle w:val="14"/>
            </w:pPr>
            <w:r>
              <w:t>正处（县）级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按照预算管理有关规定，目前部门预算的编制实行综合预算管理，即全部收入和支出都反映在预算中。中国农工民主党沧州市委员会机关及所属事业单位的收支包含在部门预算中。</w:t>
      </w:r>
    </w:p>
    <w:p>
      <w:pPr>
        <w:pStyle w:val="19"/>
      </w:pPr>
      <w:r>
        <w:t>1、收入说明</w:t>
      </w:r>
    </w:p>
    <w:p>
      <w:pPr>
        <w:pStyle w:val="19"/>
      </w:pPr>
      <w:r>
        <w:t>反映本部门当年全部收入。2024年预算收入476.24万元，其中：一般公共预算收入476.24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农工民主党沧州市委员会年度部门预算中支出预算的总体情况。2024年支出预算476.24万元，其中基本支出368.24万元，包括人员经费312.15万元和日常公用经费56.09万元；项目支出108.00万元，主要为九三学社参政议政专项经费27万元、民革参政议政专项经费27万元、民盟参政议政专项经费27万元、农工党参政议政专项经费27万元。</w:t>
      </w:r>
    </w:p>
    <w:p>
      <w:pPr>
        <w:pStyle w:val="19"/>
      </w:pPr>
      <w:r>
        <w:t>3、比上年增减情况</w:t>
      </w:r>
    </w:p>
    <w:p>
      <w:pPr>
        <w:pStyle w:val="19"/>
      </w:pPr>
      <w:r>
        <w:t>2024年预算收支安排476.24万元，较2023年预算增加22.70万元，其中：基本支出增加34.70万元，主要为增加人员经费支出35.89万元，减少公用经费支出1.19万元；项目支出减少12.00万元，主要为减少九三学社参政议政专项经费3万元、减少民革参政议政专项经费3万元、减少民盟参政议政专项经费3万元、减少农工党参政议政专项经费3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2024年，我部门机关运行经费共计安排56.09万元，主要用于日常维修、办公用房水电费、办公用房取暖费、办公用房物业管理费等日常运行支出。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万元，其中因公出国（境）费0万元；公务用车购置及运维费0万元（其中：公务用车购置费为0万元，公务用车运维费0万元)；公务接待费0万元。与2023年相比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是我市深入学习贯彻落实中共党的精神，加快建设创新驱动经济强市，建设美丽宜居新沧州的重要一年。我市各民主党派将以新时代中国特色社会主义理论为指导，在中共沧州市委领导下，围绕中心，服务大局，履行职责，积极助力推进沧州各项经济社会健康快速发展，为本市经济发展、改革开放、社会进步贡献我们新的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一、职责：民革事务。</w:t>
      </w:r>
    </w:p>
    <w:p>
      <w:pPr>
        <w:pStyle w:val="23"/>
      </w:pPr>
      <w:r>
        <w:t>内容描述：参政议政和经济联络等事项。贯彻民革中央组织建设工作方针，指导全市各级组织的建设，维护会员合法权益等工作。 1、参政议政：组织开展调研，向市政协提交大会发言和集体提案，反映社情民意，与市政府对口单位紧密联系。2、经济联络：开展扶贫支边、办学服务，协调安排赴台考察，联络、接待台商、台资企业调研，为经济建设服务。3、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3"/>
      </w:pPr>
      <w:r>
        <w:t>绩效目标：完成参政议政、经济联络与社会服务等事项。完成民革中央组织建设工作方针，指导全市各级组织的建设，维护会员合法权益等工作。对党内重大活动和典型人物进行宣传。1、提升参政议政水平，为国家治理和社会发展建言献策。2、打造社会服务品牌，致力边远地区脱贫致富，推进新农村建设和社会发展；增进经济交流，为全市经济建设、社会发展服务。3、建设参政议政队伍，促进参政议政工作制度化、规范化和程序化，调动基层组织和广大党员的积极性，增强组织凝聚力。对党内重大活动和典型人物进行宣传。</w:t>
      </w:r>
    </w:p>
    <w:p>
      <w:pPr>
        <w:pStyle w:val="23"/>
      </w:pPr>
      <w:r>
        <w:t>二、职责：民盟事务。</w:t>
      </w:r>
    </w:p>
    <w:p>
      <w:pPr>
        <w:pStyle w:val="23"/>
      </w:pPr>
      <w:r>
        <w:t>内容描述：参政议政和社会服务等事项。贯彻民盟中央组织建设工作方针，指导全市各级组织的建设，维护盟员合法权益等工作。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3"/>
      </w:pPr>
      <w:r>
        <w:t>绩效目标：参政议政和社会服务等事项。贯彻民盟中央组织建设工作方针，指导全市各级组织的建设，维护盟员合法权益等工作。1、提升参政议政水平，为国家治理和社会发展建言献策。2、建设参政议政队伍，促进参政议政工作制度化、规范化和程序化，调动基层组织和广大党员的积极性，增强组织凝聚力。对党内重大活动和典型人物进行宣传。</w:t>
      </w:r>
    </w:p>
    <w:p>
      <w:pPr>
        <w:pStyle w:val="23"/>
      </w:pPr>
      <w:r>
        <w:t>三、职责：民建事务。</w:t>
      </w:r>
    </w:p>
    <w:p>
      <w:pPr>
        <w:pStyle w:val="23"/>
      </w:pPr>
      <w:r>
        <w:t>内容描述：参政议政和社会服务等事项。贯彻民盟中央组织建设工作方针，指导全市各级组织的建设，维护盟员合法权益等工作。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3"/>
      </w:pPr>
      <w:r>
        <w:t>绩效目标：增强组织凝聚力和社会影响力，提升参政议政水平，帮助弱势群体，助力经济发展。建设参政议政队伍，促进参政议政工作制度化、规范化和程序化，调动基层组织和广大会员的积极性，增强组织凝聚力；发挥宣传教育阵地作用，增强广大会员和人民群众对中国特色社会主义的道路自信、理论自信、制度自信。1、提升参政议政水平，为国家治理和社会发展建言献策。2、建设参政议政队伍，促进参政议政工作制度化、规范化和程序化，调动基层组织和广大党员的积极性，增强组织凝聚力。对党内重大活动和典型人物进行宣传。</w:t>
      </w:r>
    </w:p>
    <w:p>
      <w:pPr>
        <w:pStyle w:val="23"/>
      </w:pPr>
      <w:r>
        <w:t>四、职责：民主促进会事务。</w:t>
      </w:r>
    </w:p>
    <w:p>
      <w:pPr>
        <w:pStyle w:val="23"/>
      </w:pPr>
      <w:r>
        <w:t>内容描述：参政议政和经济联络等事项。贯彻民革中央组织建设工作方针，指导全市各级组织的建设，维护会员合法权益等工作。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3"/>
      </w:pPr>
      <w:r>
        <w:t>绩效目标：增强组织凝聚力和社会影响力，提升参政议政水平，帮助弱势群体，助力经济发展。1、提升参政议政水平，为国家治理和社会发展建言献策。2、建设参政议政队伍，促进参政议政工作制度化、规范化和程序化，调动基层组织和广大党员的积极性，增强组织凝聚力。对党内重大活动和典型人物进行宣传。</w:t>
      </w:r>
    </w:p>
    <w:p>
      <w:pPr>
        <w:pStyle w:val="23"/>
      </w:pPr>
      <w:r>
        <w:t>五、职责：农工党事务。</w:t>
      </w:r>
    </w:p>
    <w:p>
      <w:pPr>
        <w:pStyle w:val="23"/>
      </w:pPr>
      <w:r>
        <w:t>内容描述：参政议政、组织建设及宣传教育、社会服务等事项。贯彻农工党中央组织建设工作方针，指导全市各级组织的建设，维护党员合法权益等工作。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3"/>
      </w:pPr>
      <w:r>
        <w:t>绩效目标：增强组织凝聚力和社会影响力，提升参政议政水平，帮助弱势群体，助力经济发展。贯彻农工党中央组织建设工作方针，指导全市各级组织的建设，维护党员合法权益，开展政治理论和时事政策的学习教育活动，组织换届、后备干部培养和干部培训、基层建设工作，对党内重大活动和典型人物进行宣传。1、提升参政议政水平，为国家治理和社会发展建言献策。2、建设参政议政队伍，促进参政议政工作制度化、规范化和程序化，调动基层组织和广大党员的积极性，增强组织凝聚力。对党内重大活动和典型人物进行宣传。</w:t>
      </w:r>
    </w:p>
    <w:p>
      <w:pPr>
        <w:pStyle w:val="23"/>
      </w:pPr>
      <w:r>
        <w:t>六、职责：九三学社事务。</w:t>
      </w:r>
    </w:p>
    <w:p>
      <w:pPr>
        <w:pStyle w:val="23"/>
      </w:pPr>
      <w:r>
        <w:t>内容描述：九三学社事务。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3"/>
      </w:pPr>
      <w:r>
        <w:t>绩效目标：贯彻社中央组织建设工作方针，指导全省各级组织的建设，维护社员合法权益，开展政治理论和时事政策的学习教育活动，组织换届、后备干部培养和干部培训、基层建设工作，对重大社务活动和典型人物进行宣传。搞好科技咨询服务，为成员及社外有关人士参加的科技开发做好联络、组织协调工作；负责组织开展为老少边贫地区脱贫致富服务工作。1、提升参政议政水平，为国家治理和社会发展建言献策。2、建设参政议政队伍，促进参政议政工作制度化、规范化和程序化，调动基层组织和广大党员的积极性，增强组织凝聚力。对党内重大活动和典型人物进行宣传。</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sectPr>
      </w:pPr>
      <w:r>
        <w:t>组织开展调研向市政协全会提交大会发言和集体提案，反映社情民意，与市政府对口单位紧密联系。搞好社会服务工作，为成员及有关人士参建的社会服务工作做好联系、组织协调工作；负责组织开展为老少边贫地区脱贫致富的服务工作。贯彻中共中央组织建设工作方针，指导全市各级组织的建设，维护成员合法权益。组织换届、后备干部培养和干部培训、基层建设工作。学习贯彻中共中央方针政策开展政治理论和时事政策的学习教育活动，维护好网站建设，对重大活动和典型人物进行宣传。</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无</w:t>
      </w:r>
    </w:p>
    <w:p>
      <w:pPr>
        <w:numPr>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 xml:space="preserve">  </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1、2024年度九三学社参政议政专项经费绩效目标表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13090024P000698100019</w:t>
            </w:r>
          </w:p>
        </w:tc>
        <w:tc>
          <w:tcPr>
            <w:tcW w:w="2835" w:type="dxa"/>
            <w:vAlign w:val="center"/>
          </w:tcPr>
          <w:p>
            <w:pPr>
              <w:pStyle w:val="11"/>
            </w:pPr>
            <w:r>
              <w:t>项目名称</w:t>
            </w:r>
          </w:p>
        </w:tc>
        <w:tc>
          <w:tcPr>
            <w:tcW w:w="6094" w:type="dxa"/>
            <w:gridSpan w:val="3"/>
            <w:vAlign w:val="center"/>
          </w:tcPr>
          <w:p>
            <w:pPr>
              <w:pStyle w:val="13"/>
            </w:pPr>
            <w:r>
              <w:t>2024年度九三学社参政议政专项经费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1、开展深入广泛具体的调查研究；2、在加强和改善民主履行参政议政智能新形式下，民主党派参政议政的任务更加重要和重大。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8" w:hRule="atLeast"/>
          <w:jc w:val="center"/>
        </w:trPr>
        <w:tc>
          <w:tcPr>
            <w:tcW w:w="1276" w:type="dxa"/>
            <w:vAlign w:val="center"/>
          </w:tcPr>
          <w:p>
            <w:pPr>
              <w:pStyle w:val="11"/>
            </w:pPr>
            <w:r>
              <w:t>绩效目标</w:t>
            </w:r>
          </w:p>
        </w:tc>
        <w:tc>
          <w:tcPr>
            <w:tcW w:w="14031" w:type="dxa"/>
            <w:gridSpan w:val="6"/>
            <w:vAlign w:val="center"/>
          </w:tcPr>
          <w:p>
            <w:pPr>
              <w:pStyle w:val="13"/>
            </w:pPr>
            <w:r>
              <w:t>1.开展深入广泛具体的调查研究</w:t>
            </w:r>
          </w:p>
          <w:p>
            <w:pPr>
              <w:pStyle w:val="13"/>
            </w:pPr>
            <w:r>
              <w:t>2.在加强和改善民主履行参政议政智能新形式下，民主党派参政议政的任务更加重要和重大。</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710"/>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1710" w:type="dxa"/>
            <w:vAlign w:val="center"/>
          </w:tcPr>
          <w:p>
            <w:pPr>
              <w:pStyle w:val="11"/>
            </w:pPr>
            <w:r>
              <w:t>指标值</w:t>
            </w:r>
          </w:p>
        </w:tc>
        <w:tc>
          <w:tcPr>
            <w:tcW w:w="251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组织主题宣传活动场次</w:t>
            </w:r>
          </w:p>
        </w:tc>
        <w:tc>
          <w:tcPr>
            <w:tcW w:w="4228" w:type="dxa"/>
            <w:vAlign w:val="center"/>
          </w:tcPr>
          <w:p>
            <w:pPr>
              <w:pStyle w:val="13"/>
            </w:pPr>
            <w:r>
              <w:t>组织主题宣传活动场次</w:t>
            </w:r>
          </w:p>
        </w:tc>
        <w:tc>
          <w:tcPr>
            <w:tcW w:w="1710" w:type="dxa"/>
            <w:vAlign w:val="center"/>
          </w:tcPr>
          <w:p>
            <w:pPr>
              <w:pStyle w:val="13"/>
            </w:pPr>
            <w:r>
              <w:t>≥10次</w:t>
            </w:r>
          </w:p>
        </w:tc>
        <w:tc>
          <w:tcPr>
            <w:tcW w:w="2518"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机关基础设备正常运转，信息化保障提高</w:t>
            </w:r>
          </w:p>
        </w:tc>
        <w:tc>
          <w:tcPr>
            <w:tcW w:w="4228" w:type="dxa"/>
            <w:vAlign w:val="center"/>
          </w:tcPr>
          <w:p>
            <w:pPr>
              <w:pStyle w:val="13"/>
            </w:pPr>
            <w:r>
              <w:t>机关基础设备正常运转，信息化保障提高</w:t>
            </w:r>
          </w:p>
        </w:tc>
        <w:tc>
          <w:tcPr>
            <w:tcW w:w="1710" w:type="dxa"/>
            <w:vAlign w:val="center"/>
          </w:tcPr>
          <w:p>
            <w:pPr>
              <w:pStyle w:val="13"/>
            </w:pPr>
            <w:r>
              <w:t>≥95%</w:t>
            </w:r>
          </w:p>
        </w:tc>
        <w:tc>
          <w:tcPr>
            <w:tcW w:w="2518"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完成项目所需时间</w:t>
            </w:r>
          </w:p>
        </w:tc>
        <w:tc>
          <w:tcPr>
            <w:tcW w:w="4228" w:type="dxa"/>
            <w:vAlign w:val="center"/>
          </w:tcPr>
          <w:p>
            <w:pPr>
              <w:pStyle w:val="13"/>
            </w:pPr>
            <w:r>
              <w:t>完成项目所需时间</w:t>
            </w:r>
          </w:p>
        </w:tc>
        <w:tc>
          <w:tcPr>
            <w:tcW w:w="1710" w:type="dxa"/>
            <w:vAlign w:val="center"/>
          </w:tcPr>
          <w:p>
            <w:pPr>
              <w:pStyle w:val="13"/>
            </w:pPr>
            <w:r>
              <w:t>≤1年</w:t>
            </w:r>
          </w:p>
        </w:tc>
        <w:tc>
          <w:tcPr>
            <w:tcW w:w="2518"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项目所需资金</w:t>
            </w:r>
          </w:p>
        </w:tc>
        <w:tc>
          <w:tcPr>
            <w:tcW w:w="4228" w:type="dxa"/>
            <w:vAlign w:val="center"/>
          </w:tcPr>
          <w:p>
            <w:pPr>
              <w:pStyle w:val="13"/>
            </w:pPr>
            <w:r>
              <w:t>项目所需资金</w:t>
            </w:r>
          </w:p>
        </w:tc>
        <w:tc>
          <w:tcPr>
            <w:tcW w:w="1710" w:type="dxa"/>
            <w:vAlign w:val="center"/>
          </w:tcPr>
          <w:p>
            <w:pPr>
              <w:pStyle w:val="13"/>
            </w:pPr>
            <w:r>
              <w:t>≤27万元</w:t>
            </w:r>
          </w:p>
        </w:tc>
        <w:tc>
          <w:tcPr>
            <w:tcW w:w="2518"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加强和改善民主履行参政议政</w:t>
            </w:r>
          </w:p>
        </w:tc>
        <w:tc>
          <w:tcPr>
            <w:tcW w:w="4228" w:type="dxa"/>
            <w:vAlign w:val="center"/>
          </w:tcPr>
          <w:p>
            <w:pPr>
              <w:pStyle w:val="13"/>
            </w:pPr>
            <w:r>
              <w:t>加强和改善民主履行参政议政</w:t>
            </w:r>
          </w:p>
        </w:tc>
        <w:tc>
          <w:tcPr>
            <w:tcW w:w="1710" w:type="dxa"/>
            <w:vAlign w:val="center"/>
          </w:tcPr>
          <w:p>
            <w:pPr>
              <w:pStyle w:val="13"/>
            </w:pPr>
            <w:r>
              <w:t>≥95%</w:t>
            </w:r>
          </w:p>
        </w:tc>
        <w:tc>
          <w:tcPr>
            <w:tcW w:w="2518"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办理单位满意度</w:t>
            </w:r>
          </w:p>
        </w:tc>
        <w:tc>
          <w:tcPr>
            <w:tcW w:w="4228" w:type="dxa"/>
            <w:vAlign w:val="center"/>
          </w:tcPr>
          <w:p>
            <w:pPr>
              <w:pStyle w:val="13"/>
            </w:pPr>
            <w:r>
              <w:t>办理单位满意度</w:t>
            </w:r>
          </w:p>
        </w:tc>
        <w:tc>
          <w:tcPr>
            <w:tcW w:w="1710" w:type="dxa"/>
            <w:vAlign w:val="center"/>
          </w:tcPr>
          <w:p>
            <w:pPr>
              <w:pStyle w:val="13"/>
            </w:pPr>
            <w:r>
              <w:t>≥95%</w:t>
            </w:r>
          </w:p>
        </w:tc>
        <w:tc>
          <w:tcPr>
            <w:tcW w:w="2518" w:type="dxa"/>
            <w:vAlign w:val="center"/>
          </w:tcPr>
          <w:p>
            <w:pPr>
              <w:pStyle w:val="13"/>
            </w:pPr>
            <w:r>
              <w:t>沧市财行【2017】65号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2、2024年度民革参政议政专项经费绩效目标表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13090024P00069910001Y</w:t>
            </w:r>
          </w:p>
        </w:tc>
        <w:tc>
          <w:tcPr>
            <w:tcW w:w="2835" w:type="dxa"/>
            <w:vAlign w:val="center"/>
          </w:tcPr>
          <w:p>
            <w:pPr>
              <w:pStyle w:val="11"/>
            </w:pPr>
            <w:r>
              <w:t>项目名称</w:t>
            </w:r>
          </w:p>
        </w:tc>
        <w:tc>
          <w:tcPr>
            <w:tcW w:w="6094" w:type="dxa"/>
            <w:gridSpan w:val="3"/>
            <w:vAlign w:val="center"/>
          </w:tcPr>
          <w:p>
            <w:pPr>
              <w:pStyle w:val="13"/>
            </w:pPr>
            <w:r>
              <w:t>2024年度民革参政议政专项经费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1、开展深入广泛具体的调查研究；2、在加强和改善民主履行参政议政智能新形式下，民主党派参政议政的任务更加重要和重大。</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1.开展深入广泛具体的调查研究</w:t>
            </w:r>
          </w:p>
          <w:p>
            <w:pPr>
              <w:pStyle w:val="13"/>
            </w:pPr>
            <w:r>
              <w:t>2.在加强和改善民主履行参政议政智能新形式下，民主党派参政议政的任务更加重要和重大。</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组织主题宣传活动场次</w:t>
            </w:r>
          </w:p>
        </w:tc>
        <w:tc>
          <w:tcPr>
            <w:tcW w:w="5386" w:type="dxa"/>
            <w:vAlign w:val="center"/>
          </w:tcPr>
          <w:p>
            <w:pPr>
              <w:pStyle w:val="13"/>
            </w:pPr>
            <w:r>
              <w:t>组织主题宣传活动场次</w:t>
            </w:r>
          </w:p>
        </w:tc>
        <w:tc>
          <w:tcPr>
            <w:tcW w:w="2268" w:type="dxa"/>
            <w:vAlign w:val="center"/>
          </w:tcPr>
          <w:p>
            <w:pPr>
              <w:pStyle w:val="13"/>
            </w:pPr>
            <w:r>
              <w:t>≥10次</w:t>
            </w:r>
          </w:p>
        </w:tc>
        <w:tc>
          <w:tcPr>
            <w:tcW w:w="1276"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机关基础设备正常运转，信息化保障提高</w:t>
            </w:r>
          </w:p>
        </w:tc>
        <w:tc>
          <w:tcPr>
            <w:tcW w:w="5386" w:type="dxa"/>
            <w:vAlign w:val="center"/>
          </w:tcPr>
          <w:p>
            <w:pPr>
              <w:pStyle w:val="13"/>
            </w:pPr>
            <w:r>
              <w:t>机关基础设备正常运转，信息化保障提高</w:t>
            </w:r>
          </w:p>
        </w:tc>
        <w:tc>
          <w:tcPr>
            <w:tcW w:w="2268" w:type="dxa"/>
            <w:vAlign w:val="center"/>
          </w:tcPr>
          <w:p>
            <w:pPr>
              <w:pStyle w:val="13"/>
            </w:pPr>
            <w:r>
              <w:t>≥95%</w:t>
            </w:r>
          </w:p>
        </w:tc>
        <w:tc>
          <w:tcPr>
            <w:tcW w:w="1276"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完成项目所需时间</w:t>
            </w:r>
          </w:p>
        </w:tc>
        <w:tc>
          <w:tcPr>
            <w:tcW w:w="5386" w:type="dxa"/>
            <w:vAlign w:val="center"/>
          </w:tcPr>
          <w:p>
            <w:pPr>
              <w:pStyle w:val="13"/>
            </w:pPr>
            <w:r>
              <w:t>完成项目所需时间</w:t>
            </w:r>
          </w:p>
        </w:tc>
        <w:tc>
          <w:tcPr>
            <w:tcW w:w="2268" w:type="dxa"/>
            <w:vAlign w:val="center"/>
          </w:tcPr>
          <w:p>
            <w:pPr>
              <w:pStyle w:val="13"/>
            </w:pPr>
            <w:r>
              <w:t>≤1年</w:t>
            </w:r>
          </w:p>
        </w:tc>
        <w:tc>
          <w:tcPr>
            <w:tcW w:w="1276"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项目所需资金</w:t>
            </w:r>
          </w:p>
        </w:tc>
        <w:tc>
          <w:tcPr>
            <w:tcW w:w="2268" w:type="dxa"/>
            <w:vAlign w:val="center"/>
          </w:tcPr>
          <w:p>
            <w:pPr>
              <w:pStyle w:val="13"/>
            </w:pPr>
            <w:r>
              <w:t>≤27万元</w:t>
            </w:r>
          </w:p>
        </w:tc>
        <w:tc>
          <w:tcPr>
            <w:tcW w:w="1276"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加强和改善民主履行参政议政</w:t>
            </w:r>
          </w:p>
        </w:tc>
        <w:tc>
          <w:tcPr>
            <w:tcW w:w="5386" w:type="dxa"/>
            <w:vAlign w:val="center"/>
          </w:tcPr>
          <w:p>
            <w:pPr>
              <w:pStyle w:val="13"/>
            </w:pPr>
            <w:r>
              <w:t>加强和改善民主履行参政议政</w:t>
            </w:r>
          </w:p>
        </w:tc>
        <w:tc>
          <w:tcPr>
            <w:tcW w:w="2268" w:type="dxa"/>
            <w:vAlign w:val="center"/>
          </w:tcPr>
          <w:p>
            <w:pPr>
              <w:pStyle w:val="13"/>
            </w:pPr>
            <w:r>
              <w:t>≥95%</w:t>
            </w:r>
          </w:p>
        </w:tc>
        <w:tc>
          <w:tcPr>
            <w:tcW w:w="1276"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办理单位满意度</w:t>
            </w:r>
          </w:p>
        </w:tc>
        <w:tc>
          <w:tcPr>
            <w:tcW w:w="5386" w:type="dxa"/>
            <w:vAlign w:val="center"/>
          </w:tcPr>
          <w:p>
            <w:pPr>
              <w:pStyle w:val="13"/>
            </w:pPr>
            <w:r>
              <w:t>办理单位满意度</w:t>
            </w:r>
          </w:p>
        </w:tc>
        <w:tc>
          <w:tcPr>
            <w:tcW w:w="2268" w:type="dxa"/>
            <w:vAlign w:val="center"/>
          </w:tcPr>
          <w:p>
            <w:pPr>
              <w:pStyle w:val="13"/>
            </w:pPr>
            <w:r>
              <w:t>≥95%</w:t>
            </w:r>
          </w:p>
        </w:tc>
        <w:tc>
          <w:tcPr>
            <w:tcW w:w="1276" w:type="dxa"/>
            <w:vAlign w:val="center"/>
          </w:tcPr>
          <w:p>
            <w:pPr>
              <w:pStyle w:val="13"/>
            </w:pPr>
            <w:r>
              <w:t>沧市财行【2017】65号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3、2024年度民盟参政议政专项经费绩效目标表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13090024P00070010001J</w:t>
            </w:r>
          </w:p>
        </w:tc>
        <w:tc>
          <w:tcPr>
            <w:tcW w:w="2835" w:type="dxa"/>
            <w:vAlign w:val="center"/>
          </w:tcPr>
          <w:p>
            <w:pPr>
              <w:pStyle w:val="11"/>
            </w:pPr>
            <w:r>
              <w:t>项目名称</w:t>
            </w:r>
          </w:p>
        </w:tc>
        <w:tc>
          <w:tcPr>
            <w:tcW w:w="6094" w:type="dxa"/>
            <w:gridSpan w:val="3"/>
            <w:vAlign w:val="center"/>
          </w:tcPr>
          <w:p>
            <w:pPr>
              <w:pStyle w:val="13"/>
            </w:pPr>
            <w:r>
              <w:t>2024年度民盟参政议政专项经费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1、开展深入广泛具体的调查研究；2、在加强和改善民主履行参政议政智能新形式下，民主党派参政议政的任务更加重要和重大。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1.开展深入广泛具体的调查研究</w:t>
            </w:r>
          </w:p>
          <w:p>
            <w:pPr>
              <w:pStyle w:val="13"/>
            </w:pPr>
            <w:r>
              <w:t>2.在加强和改善民主履行参政议政智能新形式下，民主党派参政议政的任务更加重要和重大。</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组织主题宣传活动场次</w:t>
            </w:r>
          </w:p>
        </w:tc>
        <w:tc>
          <w:tcPr>
            <w:tcW w:w="5386" w:type="dxa"/>
            <w:vAlign w:val="center"/>
          </w:tcPr>
          <w:p>
            <w:pPr>
              <w:pStyle w:val="13"/>
            </w:pPr>
            <w:r>
              <w:t>组织主题宣传活动场次</w:t>
            </w:r>
          </w:p>
        </w:tc>
        <w:tc>
          <w:tcPr>
            <w:tcW w:w="2268" w:type="dxa"/>
            <w:vAlign w:val="center"/>
          </w:tcPr>
          <w:p>
            <w:pPr>
              <w:pStyle w:val="13"/>
            </w:pPr>
            <w:r>
              <w:t>≥10次</w:t>
            </w:r>
          </w:p>
        </w:tc>
        <w:tc>
          <w:tcPr>
            <w:tcW w:w="1276"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机关基础设备正常运转，信息化保障提高</w:t>
            </w:r>
          </w:p>
        </w:tc>
        <w:tc>
          <w:tcPr>
            <w:tcW w:w="5386" w:type="dxa"/>
            <w:vAlign w:val="center"/>
          </w:tcPr>
          <w:p>
            <w:pPr>
              <w:pStyle w:val="13"/>
            </w:pPr>
            <w:r>
              <w:t>机关基础设备正常运转，信息化保障提高</w:t>
            </w:r>
          </w:p>
        </w:tc>
        <w:tc>
          <w:tcPr>
            <w:tcW w:w="2268" w:type="dxa"/>
            <w:vAlign w:val="center"/>
          </w:tcPr>
          <w:p>
            <w:pPr>
              <w:pStyle w:val="13"/>
            </w:pPr>
            <w:r>
              <w:t>≥95%</w:t>
            </w:r>
          </w:p>
        </w:tc>
        <w:tc>
          <w:tcPr>
            <w:tcW w:w="1276"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完成项目所需时间</w:t>
            </w:r>
          </w:p>
        </w:tc>
        <w:tc>
          <w:tcPr>
            <w:tcW w:w="5386" w:type="dxa"/>
            <w:vAlign w:val="center"/>
          </w:tcPr>
          <w:p>
            <w:pPr>
              <w:pStyle w:val="13"/>
            </w:pPr>
            <w:r>
              <w:t>完成项目所需时间</w:t>
            </w:r>
          </w:p>
        </w:tc>
        <w:tc>
          <w:tcPr>
            <w:tcW w:w="2268" w:type="dxa"/>
            <w:vAlign w:val="center"/>
          </w:tcPr>
          <w:p>
            <w:pPr>
              <w:pStyle w:val="13"/>
            </w:pPr>
            <w:r>
              <w:t>≤1年</w:t>
            </w:r>
          </w:p>
        </w:tc>
        <w:tc>
          <w:tcPr>
            <w:tcW w:w="1276"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项目所需资金</w:t>
            </w:r>
          </w:p>
        </w:tc>
        <w:tc>
          <w:tcPr>
            <w:tcW w:w="2268" w:type="dxa"/>
            <w:vAlign w:val="center"/>
          </w:tcPr>
          <w:p>
            <w:pPr>
              <w:pStyle w:val="13"/>
            </w:pPr>
            <w:r>
              <w:t>≤27万元</w:t>
            </w:r>
          </w:p>
        </w:tc>
        <w:tc>
          <w:tcPr>
            <w:tcW w:w="1276"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加强和改善民主履行参政议政</w:t>
            </w:r>
          </w:p>
        </w:tc>
        <w:tc>
          <w:tcPr>
            <w:tcW w:w="5386" w:type="dxa"/>
            <w:vAlign w:val="center"/>
          </w:tcPr>
          <w:p>
            <w:pPr>
              <w:pStyle w:val="13"/>
            </w:pPr>
            <w:r>
              <w:t>加强和改善民主履行参政议政</w:t>
            </w:r>
          </w:p>
        </w:tc>
        <w:tc>
          <w:tcPr>
            <w:tcW w:w="2268" w:type="dxa"/>
            <w:vAlign w:val="center"/>
          </w:tcPr>
          <w:p>
            <w:pPr>
              <w:pStyle w:val="13"/>
            </w:pPr>
            <w:r>
              <w:t>≥95%</w:t>
            </w:r>
          </w:p>
        </w:tc>
        <w:tc>
          <w:tcPr>
            <w:tcW w:w="1276"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办理单位满意度</w:t>
            </w:r>
          </w:p>
        </w:tc>
        <w:tc>
          <w:tcPr>
            <w:tcW w:w="5386" w:type="dxa"/>
            <w:vAlign w:val="center"/>
          </w:tcPr>
          <w:p>
            <w:pPr>
              <w:pStyle w:val="13"/>
            </w:pPr>
            <w:r>
              <w:t>办理单位满意度</w:t>
            </w:r>
          </w:p>
        </w:tc>
        <w:tc>
          <w:tcPr>
            <w:tcW w:w="2268" w:type="dxa"/>
            <w:vAlign w:val="center"/>
          </w:tcPr>
          <w:p>
            <w:pPr>
              <w:pStyle w:val="13"/>
            </w:pPr>
            <w:r>
              <w:t>≥95%</w:t>
            </w:r>
          </w:p>
        </w:tc>
        <w:tc>
          <w:tcPr>
            <w:tcW w:w="1276" w:type="dxa"/>
            <w:vAlign w:val="center"/>
          </w:tcPr>
          <w:p>
            <w:pPr>
              <w:pStyle w:val="13"/>
            </w:pPr>
            <w:r>
              <w:t>沧市财行【2017】65号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4、2024年度农工党参政议政专项经费绩效目标表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13090024P000701100018</w:t>
            </w:r>
          </w:p>
        </w:tc>
        <w:tc>
          <w:tcPr>
            <w:tcW w:w="2835" w:type="dxa"/>
            <w:vAlign w:val="center"/>
          </w:tcPr>
          <w:p>
            <w:pPr>
              <w:pStyle w:val="11"/>
            </w:pPr>
            <w:r>
              <w:t>项目名称</w:t>
            </w:r>
          </w:p>
        </w:tc>
        <w:tc>
          <w:tcPr>
            <w:tcW w:w="6094" w:type="dxa"/>
            <w:gridSpan w:val="3"/>
            <w:vAlign w:val="center"/>
          </w:tcPr>
          <w:p>
            <w:pPr>
              <w:pStyle w:val="13"/>
            </w:pPr>
            <w:r>
              <w:t>2024年度农工党参政议政专项经费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1、开展深入广泛具体的调查研究；2、在加强和改善民主履行参政议政智能新形式下，民主党派参政议政的任务更加重要和重大。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1.开展深入广泛具体的调查研究</w:t>
            </w:r>
          </w:p>
          <w:p>
            <w:pPr>
              <w:pStyle w:val="13"/>
            </w:pPr>
            <w:bookmarkStart w:id="20" w:name="_GoBack"/>
            <w:bookmarkEnd w:id="20"/>
            <w:r>
              <w:t>2.在加强和改善民主履行参政议政智能新形式下，民主党派参政议政的任务更加重要和重大。</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组织主题宣传活动场次</w:t>
            </w:r>
          </w:p>
        </w:tc>
        <w:tc>
          <w:tcPr>
            <w:tcW w:w="5386" w:type="dxa"/>
            <w:vAlign w:val="center"/>
          </w:tcPr>
          <w:p>
            <w:pPr>
              <w:pStyle w:val="13"/>
            </w:pPr>
            <w:r>
              <w:t>组织主题宣传活动场次</w:t>
            </w:r>
          </w:p>
        </w:tc>
        <w:tc>
          <w:tcPr>
            <w:tcW w:w="2268" w:type="dxa"/>
            <w:vAlign w:val="center"/>
          </w:tcPr>
          <w:p>
            <w:pPr>
              <w:pStyle w:val="13"/>
            </w:pPr>
            <w:r>
              <w:t>≥10次</w:t>
            </w:r>
          </w:p>
        </w:tc>
        <w:tc>
          <w:tcPr>
            <w:tcW w:w="1276"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机关基础设备正常运转，信息化保障提高</w:t>
            </w:r>
          </w:p>
        </w:tc>
        <w:tc>
          <w:tcPr>
            <w:tcW w:w="5386" w:type="dxa"/>
            <w:vAlign w:val="center"/>
          </w:tcPr>
          <w:p>
            <w:pPr>
              <w:pStyle w:val="13"/>
            </w:pPr>
            <w:r>
              <w:t>机关基础设备正常运转，信息化保障提高</w:t>
            </w:r>
          </w:p>
        </w:tc>
        <w:tc>
          <w:tcPr>
            <w:tcW w:w="2268" w:type="dxa"/>
            <w:vAlign w:val="center"/>
          </w:tcPr>
          <w:p>
            <w:pPr>
              <w:pStyle w:val="13"/>
            </w:pPr>
            <w:r>
              <w:t>≥95%</w:t>
            </w:r>
          </w:p>
        </w:tc>
        <w:tc>
          <w:tcPr>
            <w:tcW w:w="1276"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完成项目所需时间</w:t>
            </w:r>
          </w:p>
        </w:tc>
        <w:tc>
          <w:tcPr>
            <w:tcW w:w="5386" w:type="dxa"/>
            <w:vAlign w:val="center"/>
          </w:tcPr>
          <w:p>
            <w:pPr>
              <w:pStyle w:val="13"/>
            </w:pPr>
            <w:r>
              <w:t>完成项目所需时间</w:t>
            </w:r>
          </w:p>
        </w:tc>
        <w:tc>
          <w:tcPr>
            <w:tcW w:w="2268" w:type="dxa"/>
            <w:vAlign w:val="center"/>
          </w:tcPr>
          <w:p>
            <w:pPr>
              <w:pStyle w:val="13"/>
            </w:pPr>
            <w:r>
              <w:t>≤1年</w:t>
            </w:r>
          </w:p>
        </w:tc>
        <w:tc>
          <w:tcPr>
            <w:tcW w:w="1276"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项目所需资金</w:t>
            </w:r>
          </w:p>
        </w:tc>
        <w:tc>
          <w:tcPr>
            <w:tcW w:w="2268" w:type="dxa"/>
            <w:vAlign w:val="center"/>
          </w:tcPr>
          <w:p>
            <w:pPr>
              <w:pStyle w:val="13"/>
            </w:pPr>
            <w:r>
              <w:t>≤27万元</w:t>
            </w:r>
          </w:p>
        </w:tc>
        <w:tc>
          <w:tcPr>
            <w:tcW w:w="1276"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加强和改善民主履行参政议政</w:t>
            </w:r>
          </w:p>
        </w:tc>
        <w:tc>
          <w:tcPr>
            <w:tcW w:w="5386" w:type="dxa"/>
            <w:vAlign w:val="center"/>
          </w:tcPr>
          <w:p>
            <w:pPr>
              <w:pStyle w:val="13"/>
            </w:pPr>
            <w:r>
              <w:t>加强和改善民主履行参政议政</w:t>
            </w:r>
          </w:p>
        </w:tc>
        <w:tc>
          <w:tcPr>
            <w:tcW w:w="2268" w:type="dxa"/>
            <w:vAlign w:val="center"/>
          </w:tcPr>
          <w:p>
            <w:pPr>
              <w:pStyle w:val="13"/>
            </w:pPr>
            <w:r>
              <w:t>≥95%</w:t>
            </w:r>
          </w:p>
        </w:tc>
        <w:tc>
          <w:tcPr>
            <w:tcW w:w="1276" w:type="dxa"/>
            <w:vAlign w:val="center"/>
          </w:tcPr>
          <w:p>
            <w:pPr>
              <w:pStyle w:val="13"/>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办理单位满意度</w:t>
            </w:r>
          </w:p>
        </w:tc>
        <w:tc>
          <w:tcPr>
            <w:tcW w:w="5386" w:type="dxa"/>
            <w:vAlign w:val="center"/>
          </w:tcPr>
          <w:p>
            <w:pPr>
              <w:pStyle w:val="13"/>
            </w:pPr>
            <w:r>
              <w:t>办理单位满意度</w:t>
            </w:r>
          </w:p>
        </w:tc>
        <w:tc>
          <w:tcPr>
            <w:tcW w:w="2268" w:type="dxa"/>
            <w:vAlign w:val="center"/>
          </w:tcPr>
          <w:p>
            <w:pPr>
              <w:pStyle w:val="13"/>
            </w:pPr>
            <w:r>
              <w:t>≥95%</w:t>
            </w:r>
          </w:p>
        </w:tc>
        <w:tc>
          <w:tcPr>
            <w:tcW w:w="1276" w:type="dxa"/>
            <w:vAlign w:val="center"/>
          </w:tcPr>
          <w:p>
            <w:pPr>
              <w:pStyle w:val="13"/>
            </w:pPr>
            <w:r>
              <w:t>沧市财行【2017】65号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中国农工民主党沧州市委员会（含所属单位）上年末固定资产金额为91.82万元（详见下表）。本年度拟购置固定资产总额为0.00万元，已按要求列入政府采购预算，详见政府采购预算表。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91.82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4</w:t>
            </w:r>
          </w:p>
        </w:tc>
        <w:tc>
          <w:tcPr>
            <w:tcW w:w="2835" w:type="dxa"/>
            <w:vAlign w:val="center"/>
          </w:tcPr>
          <w:p>
            <w:pPr>
              <w:pStyle w:val="12"/>
            </w:pPr>
            <w:r>
              <w:t>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93</w:t>
            </w:r>
          </w:p>
        </w:tc>
        <w:tc>
          <w:tcPr>
            <w:tcW w:w="2835" w:type="dxa"/>
            <w:vAlign w:val="center"/>
          </w:tcPr>
          <w:p>
            <w:pPr>
              <w:pStyle w:val="12"/>
            </w:pPr>
            <w:r>
              <w:t>14.98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8677"/>
    <w:multiLevelType w:val="singleLevel"/>
    <w:tmpl w:val="0DD0867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B860C7"/>
    <w:rsid w:val="594319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2024-02-22T09:33:30Z</dcterms:created>
  <dcterms:modified xsi:type="dcterms:W3CDTF">2024-02-22T01:33:30Z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2024-02-22T09:33:30Z</dcterms:created>
  <dcterms:modified xsi:type="dcterms:W3CDTF">2024-02-22T01:33:30Z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2024-02-22T09:33:29Z</dcterms:created>
  <dcterms:modified xsi:type="dcterms:W3CDTF">2024-02-22T01:33:29Z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2024-02-22T09:33:25Z</dcterms:created>
  <dcterms:modified xsi:type="dcterms:W3CDTF">2024-02-22T01:33:25Z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2024-02-22T09:33:29Z</dcterms:created>
  <dcterms:modified xsi:type="dcterms:W3CDTF">2024-02-22T01:33:29Z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2024-02-22T09:33:29Z</dcterms:created>
  <dcterms:modified xsi:type="dcterms:W3CDTF">2024-02-22T01:33:29Z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2024-02-22T09:33:29Z</dcterms:created>
  <dcterms:modified xsi:type="dcterms:W3CDTF">2024-02-22T01:33:29Z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2024-02-22T09:33:29Z</dcterms:created>
  <dcterms:modified xsi:type="dcterms:W3CDTF">2024-02-22T01:33:28Z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dcd1a25-61aa-4d5b-9967-72faca4730fc}">
  <ds:schemaRefs/>
</ds:datastoreItem>
</file>

<file path=customXml/itemProps11.xml><?xml version="1.0" encoding="utf-8"?>
<ds:datastoreItem xmlns:ds="http://schemas.openxmlformats.org/officeDocument/2006/customXml" ds:itemID="{a9ee0099-6b2c-4699-86b9-e0bd954d1f83}">
  <ds:schemaRefs/>
</ds:datastoreItem>
</file>

<file path=customXml/itemProps12.xml><?xml version="1.0" encoding="utf-8"?>
<ds:datastoreItem xmlns:ds="http://schemas.openxmlformats.org/officeDocument/2006/customXml" ds:itemID="{26ff7bc9-6d06-4718-a31d-e6509f352071}">
  <ds:schemaRefs/>
</ds:datastoreItem>
</file>

<file path=customXml/itemProps13.xml><?xml version="1.0" encoding="utf-8"?>
<ds:datastoreItem xmlns:ds="http://schemas.openxmlformats.org/officeDocument/2006/customXml" ds:itemID="{e9d70b77-b69a-4d7c-b52d-33e2c7625765}">
  <ds:schemaRefs/>
</ds:datastoreItem>
</file>

<file path=customXml/itemProps14.xml><?xml version="1.0" encoding="utf-8"?>
<ds:datastoreItem xmlns:ds="http://schemas.openxmlformats.org/officeDocument/2006/customXml" ds:itemID="{0b1a6aef-2b57-4614-a763-7391d8feea97}">
  <ds:schemaRefs/>
</ds:datastoreItem>
</file>

<file path=customXml/itemProps15.xml><?xml version="1.0" encoding="utf-8"?>
<ds:datastoreItem xmlns:ds="http://schemas.openxmlformats.org/officeDocument/2006/customXml" ds:itemID="{c5d26d59-1c40-49dc-86d0-4b335802b762}">
  <ds:schemaRefs/>
</ds:datastoreItem>
</file>

<file path=customXml/itemProps16.xml><?xml version="1.0" encoding="utf-8"?>
<ds:datastoreItem xmlns:ds="http://schemas.openxmlformats.org/officeDocument/2006/customXml" ds:itemID="{a736617d-e934-4550-a810-d438c8e9d7f7}">
  <ds:schemaRefs/>
</ds:datastoreItem>
</file>

<file path=customXml/itemProps17.xml><?xml version="1.0" encoding="utf-8"?>
<ds:datastoreItem xmlns:ds="http://schemas.openxmlformats.org/officeDocument/2006/customXml" ds:itemID="{9b542f95-0557-4ef4-8d2d-6339eaacc6f6}">
  <ds:schemaRefs/>
</ds:datastoreItem>
</file>

<file path=customXml/itemProps2.xml><?xml version="1.0" encoding="utf-8"?>
<ds:datastoreItem xmlns:ds="http://schemas.openxmlformats.org/officeDocument/2006/customXml" ds:itemID="{f5eb8e4d-6596-4b7c-9ee4-28d2002c23f2}">
  <ds:schemaRefs/>
</ds:datastoreItem>
</file>

<file path=customXml/itemProps3.xml><?xml version="1.0" encoding="utf-8"?>
<ds:datastoreItem xmlns:ds="http://schemas.openxmlformats.org/officeDocument/2006/customXml" ds:itemID="{091789a5-c3f1-4075-8bb8-d433ad634095}">
  <ds:schemaRefs/>
</ds:datastoreItem>
</file>

<file path=customXml/itemProps4.xml><?xml version="1.0" encoding="utf-8"?>
<ds:datastoreItem xmlns:ds="http://schemas.openxmlformats.org/officeDocument/2006/customXml" ds:itemID="{81179a21-785a-4dcb-9b29-6dd22e32bccf}">
  <ds:schemaRefs/>
</ds:datastoreItem>
</file>

<file path=customXml/itemProps5.xml><?xml version="1.0" encoding="utf-8"?>
<ds:datastoreItem xmlns:ds="http://schemas.openxmlformats.org/officeDocument/2006/customXml" ds:itemID="{6c1ce9cf-af29-4311-a35d-ce5e5b43e6da}">
  <ds:schemaRefs/>
</ds:datastoreItem>
</file>

<file path=customXml/itemProps6.xml><?xml version="1.0" encoding="utf-8"?>
<ds:datastoreItem xmlns:ds="http://schemas.openxmlformats.org/officeDocument/2006/customXml" ds:itemID="{62c0606c-6c11-441d-907e-3e35127e3af0}">
  <ds:schemaRefs/>
</ds:datastoreItem>
</file>

<file path=customXml/itemProps7.xml><?xml version="1.0" encoding="utf-8"?>
<ds:datastoreItem xmlns:ds="http://schemas.openxmlformats.org/officeDocument/2006/customXml" ds:itemID="{dfc9e65e-5ab7-41c0-a077-68946ddb5db7}">
  <ds:schemaRefs/>
</ds:datastoreItem>
</file>

<file path=customXml/itemProps8.xml><?xml version="1.0" encoding="utf-8"?>
<ds:datastoreItem xmlns:ds="http://schemas.openxmlformats.org/officeDocument/2006/customXml" ds:itemID="{dc97f974-9849-4ae8-9a6a-6ed7d29c84b0}">
  <ds:schemaRefs/>
</ds:datastoreItem>
</file>

<file path=customXml/itemProps9.xml><?xml version="1.0" encoding="utf-8"?>
<ds:datastoreItem xmlns:ds="http://schemas.openxmlformats.org/officeDocument/2006/customXml" ds:itemID="{d535f6ed-9bcc-416f-8364-dc991c5a8449}">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2024-02-22T09:33:00Z</dcterms:created>
  <dc:creator>Administrator</dc:creator>
  <cp:lastModifiedBy>Administrator</cp:lastModifiedBy>
  <dcterms:modified xsi:type="dcterms:W3CDTF">2024-02-22T01:42:51Z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