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一、中国农工民主党沧州市委员会本级收支预算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一、中国农工民主党沧州市委员会本级收支预算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476.24</w:t>
            </w:r>
          </w:p>
        </w:tc>
        <w:tc>
          <w:tcPr>
            <w:tcW w:w="4535" w:type="dxa"/>
            <w:vAlign w:val="center"/>
          </w:tcPr>
          <w:p>
            <w:pPr>
              <w:pStyle w:val="12"/>
            </w:pPr>
            <w:r>
              <w:t>一、一般公共服务支出</w:t>
            </w:r>
          </w:p>
        </w:tc>
        <w:tc>
          <w:tcPr>
            <w:tcW w:w="2126" w:type="dxa"/>
            <w:vAlign w:val="center"/>
          </w:tcPr>
          <w:p>
            <w:pPr>
              <w:pStyle w:val="11"/>
            </w:pPr>
            <w:r>
              <w:t>476.24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476.24</w:t>
            </w:r>
          </w:p>
        </w:tc>
        <w:tc>
          <w:tcPr>
            <w:tcW w:w="4535" w:type="dxa"/>
            <w:vAlign w:val="center"/>
          </w:tcPr>
          <w:p>
            <w:pPr>
              <w:pStyle w:val="14"/>
            </w:pPr>
            <w:r>
              <w:t>本年支出合计</w:t>
            </w:r>
          </w:p>
        </w:tc>
        <w:tc>
          <w:tcPr>
            <w:tcW w:w="2126" w:type="dxa"/>
            <w:vAlign w:val="center"/>
          </w:tcPr>
          <w:p>
            <w:pPr>
              <w:pStyle w:val="15"/>
            </w:pPr>
            <w:r>
              <w:t>476.24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476.24</w:t>
            </w:r>
          </w:p>
        </w:tc>
        <w:tc>
          <w:tcPr>
            <w:tcW w:w="4535" w:type="dxa"/>
            <w:vAlign w:val="center"/>
          </w:tcPr>
          <w:p>
            <w:pPr>
              <w:pStyle w:val="14"/>
            </w:pPr>
            <w:r>
              <w:t>支出总计</w:t>
            </w:r>
          </w:p>
        </w:tc>
        <w:tc>
          <w:tcPr>
            <w:tcW w:w="2126" w:type="dxa"/>
            <w:vAlign w:val="center"/>
          </w:tcPr>
          <w:p>
            <w:pPr>
              <w:pStyle w:val="15"/>
            </w:pPr>
            <w:r>
              <w:t>476.24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476.24</w:t>
            </w:r>
          </w:p>
        </w:tc>
        <w:tc>
          <w:tcPr>
            <w:tcW w:w="1134" w:type="dxa"/>
            <w:vAlign w:val="center"/>
          </w:tcPr>
          <w:p>
            <w:pPr>
              <w:pStyle w:val="15"/>
            </w:pPr>
            <w:r>
              <w:t>476.24</w:t>
            </w:r>
          </w:p>
        </w:tc>
        <w:tc>
          <w:tcPr>
            <w:tcW w:w="1134" w:type="dxa"/>
            <w:vAlign w:val="center"/>
          </w:tcPr>
          <w:p>
            <w:pPr>
              <w:pStyle w:val="15"/>
            </w:pPr>
            <w:r>
              <w:t>476.24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476.24</w:t>
            </w:r>
          </w:p>
        </w:tc>
        <w:tc>
          <w:tcPr>
            <w:tcW w:w="1134" w:type="dxa"/>
            <w:vAlign w:val="center"/>
          </w:tcPr>
          <w:p>
            <w:pPr>
              <w:pStyle w:val="11"/>
            </w:pPr>
            <w:r>
              <w:t>476.24</w:t>
            </w:r>
          </w:p>
        </w:tc>
        <w:tc>
          <w:tcPr>
            <w:tcW w:w="1134" w:type="dxa"/>
            <w:vAlign w:val="center"/>
          </w:tcPr>
          <w:p>
            <w:pPr>
              <w:pStyle w:val="11"/>
            </w:pPr>
            <w:r>
              <w:t>476.24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476.24</w:t>
            </w:r>
          </w:p>
        </w:tc>
        <w:tc>
          <w:tcPr>
            <w:tcW w:w="1134" w:type="dxa"/>
            <w:vAlign w:val="center"/>
          </w:tcPr>
          <w:p>
            <w:pPr>
              <w:pStyle w:val="11"/>
            </w:pPr>
            <w:r>
              <w:t>476.24</w:t>
            </w:r>
          </w:p>
        </w:tc>
        <w:tc>
          <w:tcPr>
            <w:tcW w:w="1134" w:type="dxa"/>
            <w:vAlign w:val="center"/>
          </w:tcPr>
          <w:p>
            <w:pPr>
              <w:pStyle w:val="11"/>
            </w:pPr>
            <w:r>
              <w:t>476.24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368.24</w:t>
            </w:r>
          </w:p>
        </w:tc>
        <w:tc>
          <w:tcPr>
            <w:tcW w:w="1134" w:type="dxa"/>
            <w:vAlign w:val="center"/>
          </w:tcPr>
          <w:p>
            <w:pPr>
              <w:pStyle w:val="11"/>
            </w:pPr>
            <w:r>
              <w:t>368.24</w:t>
            </w:r>
          </w:p>
        </w:tc>
        <w:tc>
          <w:tcPr>
            <w:tcW w:w="1134" w:type="dxa"/>
            <w:vAlign w:val="center"/>
          </w:tcPr>
          <w:p>
            <w:pPr>
              <w:pStyle w:val="11"/>
            </w:pPr>
            <w:r>
              <w:t>368.24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2012804</w:t>
            </w:r>
          </w:p>
        </w:tc>
        <w:tc>
          <w:tcPr>
            <w:tcW w:w="1559" w:type="dxa"/>
            <w:vAlign w:val="center"/>
          </w:tcPr>
          <w:p>
            <w:pPr>
              <w:pStyle w:val="12"/>
            </w:pPr>
            <w:r>
              <w:t>参政议政</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476.24</w:t>
            </w:r>
          </w:p>
        </w:tc>
        <w:tc>
          <w:tcPr>
            <w:tcW w:w="1361" w:type="dxa"/>
            <w:vAlign w:val="center"/>
          </w:tcPr>
          <w:p>
            <w:pPr>
              <w:pStyle w:val="15"/>
            </w:pPr>
            <w:r>
              <w:t>368.24</w:t>
            </w:r>
          </w:p>
        </w:tc>
        <w:tc>
          <w:tcPr>
            <w:tcW w:w="1361" w:type="dxa"/>
            <w:vAlign w:val="center"/>
          </w:tcPr>
          <w:p>
            <w:pPr>
              <w:pStyle w:val="15"/>
            </w:pPr>
            <w:r>
              <w:t>108.00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476.24</w:t>
            </w:r>
          </w:p>
        </w:tc>
        <w:tc>
          <w:tcPr>
            <w:tcW w:w="1361" w:type="dxa"/>
            <w:vAlign w:val="center"/>
          </w:tcPr>
          <w:p>
            <w:pPr>
              <w:pStyle w:val="11"/>
            </w:pPr>
            <w:r>
              <w:t>368.24</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476.24</w:t>
            </w:r>
          </w:p>
        </w:tc>
        <w:tc>
          <w:tcPr>
            <w:tcW w:w="1361" w:type="dxa"/>
            <w:vAlign w:val="center"/>
          </w:tcPr>
          <w:p>
            <w:pPr>
              <w:pStyle w:val="11"/>
            </w:pPr>
            <w:r>
              <w:t>368.24</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368.24</w:t>
            </w:r>
          </w:p>
        </w:tc>
        <w:tc>
          <w:tcPr>
            <w:tcW w:w="1361" w:type="dxa"/>
            <w:vAlign w:val="center"/>
          </w:tcPr>
          <w:p>
            <w:pPr>
              <w:pStyle w:val="11"/>
            </w:pPr>
            <w:r>
              <w:t>368.24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2012804</w:t>
            </w:r>
          </w:p>
        </w:tc>
        <w:tc>
          <w:tcPr>
            <w:tcW w:w="4535" w:type="dxa"/>
            <w:vAlign w:val="center"/>
          </w:tcPr>
          <w:p>
            <w:pPr>
              <w:pStyle w:val="12"/>
            </w:pPr>
            <w:r>
              <w:t>参政议政</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476.24</w:t>
            </w:r>
          </w:p>
        </w:tc>
        <w:tc>
          <w:tcPr>
            <w:tcW w:w="3402" w:type="dxa"/>
            <w:vAlign w:val="center"/>
          </w:tcPr>
          <w:p>
            <w:pPr>
              <w:pStyle w:val="12"/>
            </w:pPr>
            <w:r>
              <w:t>一、一般公共服务支出</w:t>
            </w:r>
          </w:p>
        </w:tc>
        <w:tc>
          <w:tcPr>
            <w:tcW w:w="1474" w:type="dxa"/>
            <w:vAlign w:val="center"/>
          </w:tcPr>
          <w:p>
            <w:pPr>
              <w:pStyle w:val="11"/>
            </w:pPr>
            <w:r>
              <w:t>476.24</w:t>
            </w:r>
          </w:p>
        </w:tc>
        <w:tc>
          <w:tcPr>
            <w:tcW w:w="1474" w:type="dxa"/>
            <w:vAlign w:val="center"/>
          </w:tcPr>
          <w:p>
            <w:pPr>
              <w:pStyle w:val="11"/>
            </w:pPr>
            <w:r>
              <w:t>476.24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476.24</w:t>
            </w:r>
          </w:p>
        </w:tc>
        <w:tc>
          <w:tcPr>
            <w:tcW w:w="3402" w:type="dxa"/>
            <w:vAlign w:val="center"/>
          </w:tcPr>
          <w:p>
            <w:pPr>
              <w:pStyle w:val="14"/>
            </w:pPr>
            <w:r>
              <w:t>本年支出合计</w:t>
            </w:r>
          </w:p>
        </w:tc>
        <w:tc>
          <w:tcPr>
            <w:tcW w:w="1474" w:type="dxa"/>
            <w:vAlign w:val="center"/>
          </w:tcPr>
          <w:p>
            <w:pPr>
              <w:pStyle w:val="15"/>
            </w:pPr>
            <w:r>
              <w:t>476.24</w:t>
            </w:r>
          </w:p>
        </w:tc>
        <w:tc>
          <w:tcPr>
            <w:tcW w:w="1474" w:type="dxa"/>
            <w:vAlign w:val="center"/>
          </w:tcPr>
          <w:p>
            <w:pPr>
              <w:pStyle w:val="15"/>
            </w:pPr>
            <w:r>
              <w:t>476.24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476.24</w:t>
            </w:r>
          </w:p>
        </w:tc>
        <w:tc>
          <w:tcPr>
            <w:tcW w:w="3402" w:type="dxa"/>
            <w:vAlign w:val="center"/>
          </w:tcPr>
          <w:p>
            <w:pPr>
              <w:pStyle w:val="14"/>
            </w:pPr>
            <w:r>
              <w:t>支出总计</w:t>
            </w:r>
          </w:p>
        </w:tc>
        <w:tc>
          <w:tcPr>
            <w:tcW w:w="1474" w:type="dxa"/>
            <w:vAlign w:val="center"/>
          </w:tcPr>
          <w:p>
            <w:pPr>
              <w:pStyle w:val="15"/>
            </w:pPr>
            <w:r>
              <w:t>476.24</w:t>
            </w:r>
          </w:p>
        </w:tc>
        <w:tc>
          <w:tcPr>
            <w:tcW w:w="1474" w:type="dxa"/>
            <w:vAlign w:val="center"/>
          </w:tcPr>
          <w:p>
            <w:pPr>
              <w:pStyle w:val="15"/>
            </w:pPr>
            <w:r>
              <w:t>476.24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476.24</w:t>
            </w:r>
          </w:p>
        </w:tc>
        <w:tc>
          <w:tcPr>
            <w:tcW w:w="2551" w:type="dxa"/>
            <w:vAlign w:val="center"/>
          </w:tcPr>
          <w:p>
            <w:pPr>
              <w:pStyle w:val="15"/>
            </w:pPr>
            <w:r>
              <w:t>368.24</w:t>
            </w:r>
          </w:p>
        </w:tc>
        <w:tc>
          <w:tcPr>
            <w:tcW w:w="2551" w:type="dxa"/>
            <w:vAlign w:val="center"/>
          </w:tcPr>
          <w:p>
            <w:pPr>
              <w:pStyle w:val="15"/>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476.24</w:t>
            </w:r>
          </w:p>
        </w:tc>
        <w:tc>
          <w:tcPr>
            <w:tcW w:w="2551" w:type="dxa"/>
            <w:vAlign w:val="center"/>
          </w:tcPr>
          <w:p>
            <w:pPr>
              <w:pStyle w:val="11"/>
            </w:pPr>
            <w:r>
              <w:t>368.24</w:t>
            </w:r>
          </w:p>
        </w:tc>
        <w:tc>
          <w:tcPr>
            <w:tcW w:w="2551"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476.24</w:t>
            </w:r>
          </w:p>
        </w:tc>
        <w:tc>
          <w:tcPr>
            <w:tcW w:w="2551" w:type="dxa"/>
            <w:vAlign w:val="center"/>
          </w:tcPr>
          <w:p>
            <w:pPr>
              <w:pStyle w:val="11"/>
            </w:pPr>
            <w:r>
              <w:t>368.24</w:t>
            </w:r>
          </w:p>
        </w:tc>
        <w:tc>
          <w:tcPr>
            <w:tcW w:w="2551"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368.24</w:t>
            </w:r>
          </w:p>
        </w:tc>
        <w:tc>
          <w:tcPr>
            <w:tcW w:w="2551" w:type="dxa"/>
            <w:vAlign w:val="center"/>
          </w:tcPr>
          <w:p>
            <w:pPr>
              <w:pStyle w:val="11"/>
            </w:pPr>
            <w:r>
              <w:t>368.24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2012804</w:t>
            </w:r>
          </w:p>
        </w:tc>
        <w:tc>
          <w:tcPr>
            <w:tcW w:w="4535" w:type="dxa"/>
            <w:vAlign w:val="center"/>
          </w:tcPr>
          <w:p>
            <w:pPr>
              <w:pStyle w:val="12"/>
            </w:pPr>
            <w:r>
              <w:t>参政议政</w:t>
            </w:r>
          </w:p>
        </w:tc>
        <w:tc>
          <w:tcPr>
            <w:tcW w:w="2551" w:type="dxa"/>
            <w:vAlign w:val="center"/>
          </w:tcPr>
          <w:p>
            <w:pPr>
              <w:pStyle w:val="11"/>
            </w:pPr>
            <w:r>
              <w:t>108.00</w:t>
            </w:r>
          </w:p>
        </w:tc>
        <w:tc>
          <w:tcPr>
            <w:tcW w:w="2551" w:type="dxa"/>
            <w:vAlign w:val="center"/>
          </w:tcPr>
          <w:p>
            <w:pPr>
              <w:pStyle w:val="11"/>
            </w:pPr>
          </w:p>
        </w:tc>
        <w:tc>
          <w:tcPr>
            <w:tcW w:w="2551" w:type="dxa"/>
            <w:vAlign w:val="center"/>
          </w:tcPr>
          <w:p>
            <w:pPr>
              <w:pStyle w:val="11"/>
            </w:pPr>
            <w:r>
              <w:t>108.00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368.24</w:t>
            </w:r>
          </w:p>
        </w:tc>
        <w:tc>
          <w:tcPr>
            <w:tcW w:w="2551" w:type="dxa"/>
            <w:vAlign w:val="center"/>
          </w:tcPr>
          <w:p>
            <w:pPr>
              <w:pStyle w:val="15"/>
            </w:pPr>
            <w:r>
              <w:t>312.15</w:t>
            </w:r>
          </w:p>
        </w:tc>
        <w:tc>
          <w:tcPr>
            <w:tcW w:w="2551" w:type="dxa"/>
            <w:vAlign w:val="center"/>
          </w:tcPr>
          <w:p>
            <w:pPr>
              <w:pStyle w:val="15"/>
            </w:pPr>
            <w:r>
              <w:t>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260.08</w:t>
            </w:r>
          </w:p>
        </w:tc>
        <w:tc>
          <w:tcPr>
            <w:tcW w:w="2551" w:type="dxa"/>
            <w:vAlign w:val="center"/>
          </w:tcPr>
          <w:p>
            <w:pPr>
              <w:pStyle w:val="11"/>
            </w:pPr>
            <w:r>
              <w:t>260.08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75.94</w:t>
            </w:r>
          </w:p>
        </w:tc>
        <w:tc>
          <w:tcPr>
            <w:tcW w:w="2551" w:type="dxa"/>
            <w:vAlign w:val="center"/>
          </w:tcPr>
          <w:p>
            <w:pPr>
              <w:pStyle w:val="11"/>
            </w:pPr>
            <w:r>
              <w:t>75.94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55.03</w:t>
            </w:r>
          </w:p>
        </w:tc>
        <w:tc>
          <w:tcPr>
            <w:tcW w:w="2551" w:type="dxa"/>
            <w:vAlign w:val="center"/>
          </w:tcPr>
          <w:p>
            <w:pPr>
              <w:pStyle w:val="11"/>
            </w:pPr>
            <w:r>
              <w:t>55.03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56.78</w:t>
            </w:r>
          </w:p>
        </w:tc>
        <w:tc>
          <w:tcPr>
            <w:tcW w:w="2551" w:type="dxa"/>
            <w:vAlign w:val="center"/>
          </w:tcPr>
          <w:p>
            <w:pPr>
              <w:pStyle w:val="11"/>
            </w:pPr>
            <w:r>
              <w:t>56.78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25.27</w:t>
            </w:r>
          </w:p>
        </w:tc>
        <w:tc>
          <w:tcPr>
            <w:tcW w:w="2551" w:type="dxa"/>
            <w:vAlign w:val="center"/>
          </w:tcPr>
          <w:p>
            <w:pPr>
              <w:pStyle w:val="11"/>
            </w:pPr>
            <w:r>
              <w:t>25.27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9.48</w:t>
            </w:r>
          </w:p>
        </w:tc>
        <w:tc>
          <w:tcPr>
            <w:tcW w:w="2551" w:type="dxa"/>
            <w:vAlign w:val="center"/>
          </w:tcPr>
          <w:p>
            <w:pPr>
              <w:pStyle w:val="11"/>
            </w:pPr>
            <w:r>
              <w:t>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12.33</w:t>
            </w:r>
          </w:p>
        </w:tc>
        <w:tc>
          <w:tcPr>
            <w:tcW w:w="2551" w:type="dxa"/>
            <w:vAlign w:val="center"/>
          </w:tcPr>
          <w:p>
            <w:pPr>
              <w:pStyle w:val="11"/>
            </w:pPr>
            <w:r>
              <w:t>12.33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20.88</w:t>
            </w:r>
          </w:p>
        </w:tc>
        <w:tc>
          <w:tcPr>
            <w:tcW w:w="2551" w:type="dxa"/>
            <w:vAlign w:val="center"/>
          </w:tcPr>
          <w:p>
            <w:pPr>
              <w:pStyle w:val="11"/>
            </w:pPr>
            <w:r>
              <w:t>20.88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56.09</w:t>
            </w:r>
          </w:p>
        </w:tc>
        <w:tc>
          <w:tcPr>
            <w:tcW w:w="2551" w:type="dxa"/>
            <w:vAlign w:val="center"/>
          </w:tcPr>
          <w:p>
            <w:pPr>
              <w:pStyle w:val="11"/>
            </w:pPr>
          </w:p>
        </w:tc>
        <w:tc>
          <w:tcPr>
            <w:tcW w:w="2551" w:type="dxa"/>
            <w:vAlign w:val="center"/>
          </w:tcPr>
          <w:p>
            <w:pPr>
              <w:pStyle w:val="11"/>
            </w:pPr>
            <w:r>
              <w:t>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2.13</w:t>
            </w:r>
          </w:p>
        </w:tc>
        <w:tc>
          <w:tcPr>
            <w:tcW w:w="2551" w:type="dxa"/>
            <w:vAlign w:val="center"/>
          </w:tcPr>
          <w:p>
            <w:pPr>
              <w:pStyle w:val="11"/>
            </w:pPr>
          </w:p>
        </w:tc>
        <w:tc>
          <w:tcPr>
            <w:tcW w:w="2551" w:type="dxa"/>
            <w:vAlign w:val="center"/>
          </w:tcPr>
          <w:p>
            <w:pPr>
              <w:pStyle w:val="11"/>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7.67</w:t>
            </w:r>
          </w:p>
        </w:tc>
        <w:tc>
          <w:tcPr>
            <w:tcW w:w="2551" w:type="dxa"/>
            <w:vAlign w:val="center"/>
          </w:tcPr>
          <w:p>
            <w:pPr>
              <w:pStyle w:val="11"/>
            </w:pPr>
          </w:p>
        </w:tc>
        <w:tc>
          <w:tcPr>
            <w:tcW w:w="2551" w:type="dxa"/>
            <w:vAlign w:val="center"/>
          </w:tcPr>
          <w:p>
            <w:pPr>
              <w:pStyle w:val="11"/>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1.42</w:t>
            </w:r>
          </w:p>
        </w:tc>
        <w:tc>
          <w:tcPr>
            <w:tcW w:w="2551" w:type="dxa"/>
            <w:vAlign w:val="center"/>
          </w:tcPr>
          <w:p>
            <w:pPr>
              <w:pStyle w:val="11"/>
            </w:pPr>
          </w:p>
        </w:tc>
        <w:tc>
          <w:tcPr>
            <w:tcW w:w="2551" w:type="dxa"/>
            <w:vAlign w:val="center"/>
          </w:tcPr>
          <w:p>
            <w:pPr>
              <w:pStyle w:val="11"/>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9.68</w:t>
            </w:r>
          </w:p>
        </w:tc>
        <w:tc>
          <w:tcPr>
            <w:tcW w:w="2551" w:type="dxa"/>
            <w:vAlign w:val="center"/>
          </w:tcPr>
          <w:p>
            <w:pPr>
              <w:pStyle w:val="11"/>
            </w:pPr>
          </w:p>
        </w:tc>
        <w:tc>
          <w:tcPr>
            <w:tcW w:w="2551" w:type="dxa"/>
            <w:vAlign w:val="center"/>
          </w:tcPr>
          <w:p>
            <w:pPr>
              <w:pStyle w:val="11"/>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10.08</w:t>
            </w:r>
          </w:p>
        </w:tc>
        <w:tc>
          <w:tcPr>
            <w:tcW w:w="2551" w:type="dxa"/>
            <w:vAlign w:val="center"/>
          </w:tcPr>
          <w:p>
            <w:pPr>
              <w:pStyle w:val="11"/>
            </w:pPr>
          </w:p>
        </w:tc>
        <w:tc>
          <w:tcPr>
            <w:tcW w:w="2551" w:type="dxa"/>
            <w:vAlign w:val="center"/>
          </w:tcPr>
          <w:p>
            <w:pPr>
              <w:pStyle w:val="11"/>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16.55</w:t>
            </w:r>
          </w:p>
        </w:tc>
        <w:tc>
          <w:tcPr>
            <w:tcW w:w="2551" w:type="dxa"/>
            <w:vAlign w:val="center"/>
          </w:tcPr>
          <w:p>
            <w:pPr>
              <w:pStyle w:val="11"/>
            </w:pPr>
          </w:p>
        </w:tc>
        <w:tc>
          <w:tcPr>
            <w:tcW w:w="2551" w:type="dxa"/>
            <w:vAlign w:val="center"/>
          </w:tcPr>
          <w:p>
            <w:pPr>
              <w:pStyle w:val="11"/>
            </w:pPr>
            <w:r>
              <w:t>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52.07</w:t>
            </w:r>
          </w:p>
        </w:tc>
        <w:tc>
          <w:tcPr>
            <w:tcW w:w="2551" w:type="dxa"/>
            <w:vAlign w:val="center"/>
          </w:tcPr>
          <w:p>
            <w:pPr>
              <w:pStyle w:val="11"/>
            </w:pPr>
            <w:r>
              <w:t>52.07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50.94</w:t>
            </w:r>
          </w:p>
        </w:tc>
        <w:tc>
          <w:tcPr>
            <w:tcW w:w="2551" w:type="dxa"/>
            <w:vAlign w:val="center"/>
          </w:tcPr>
          <w:p>
            <w:pPr>
              <w:pStyle w:val="11"/>
            </w:pPr>
            <w:r>
              <w:t>50.94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0.63</w:t>
            </w:r>
          </w:p>
        </w:tc>
        <w:tc>
          <w:tcPr>
            <w:tcW w:w="2551" w:type="dxa"/>
            <w:vAlign w:val="center"/>
          </w:tcPr>
          <w:p>
            <w:pPr>
              <w:pStyle w:val="11"/>
            </w:pPr>
            <w:r>
              <w:t>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10.05</w:t>
            </w:r>
          </w:p>
        </w:tc>
        <w:tc>
          <w:tcPr>
            <w:tcW w:w="2381" w:type="dxa"/>
            <w:vAlign w:val="center"/>
          </w:tcPr>
          <w:p>
            <w:pPr>
              <w:pStyle w:val="15"/>
            </w:pPr>
            <w:r>
              <w:t>10.05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10.05</w:t>
            </w:r>
          </w:p>
        </w:tc>
        <w:tc>
          <w:tcPr>
            <w:tcW w:w="2381" w:type="dxa"/>
            <w:vAlign w:val="center"/>
          </w:tcPr>
          <w:p>
            <w:pPr>
              <w:pStyle w:val="11"/>
            </w:pPr>
            <w:r>
              <w:t>10.05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9.68</w:t>
            </w:r>
          </w:p>
        </w:tc>
        <w:tc>
          <w:tcPr>
            <w:tcW w:w="2381" w:type="dxa"/>
            <w:vAlign w:val="center"/>
          </w:tcPr>
          <w:p>
            <w:pPr>
              <w:pStyle w:val="11"/>
            </w:pPr>
            <w:r>
              <w:t>9.68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9.68</w:t>
            </w:r>
          </w:p>
        </w:tc>
        <w:tc>
          <w:tcPr>
            <w:tcW w:w="2381" w:type="dxa"/>
            <w:vAlign w:val="center"/>
          </w:tcPr>
          <w:p>
            <w:pPr>
              <w:pStyle w:val="11"/>
            </w:pPr>
            <w:r>
              <w:t>9.68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0.37</w:t>
            </w:r>
          </w:p>
        </w:tc>
        <w:tc>
          <w:tcPr>
            <w:tcW w:w="2381" w:type="dxa"/>
            <w:vAlign w:val="center"/>
          </w:tcPr>
          <w:p>
            <w:pPr>
              <w:pStyle w:val="11"/>
            </w:pPr>
            <w:r>
              <w:t>0.37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中国农工民主党沧州市委员会本级2024年单位预算信息公开情况说明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按照《中华人民共和国预算法》、《地方预决算公开操作规程》和《关于进一步推进预算公开工作的实施意见》规定，现将中国农工民主党沧州市委员会本级2024年单位预算公开如下：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中国农工民主党沧州市委员会的主要职责</w:t>
      </w:r>
    </w:p>
    <w:p>
      <w:pPr>
        <w:pStyle w:val="17"/>
      </w:pPr>
      <w:r>
        <w:t>中国农工民主党沧州市委员会包含四个民主党派，其中有：民革沧州市委员会、民盟沧州市委员会、农工党沧州市委员会、九三学社沧州市委员会。</w:t>
      </w:r>
    </w:p>
    <w:p>
      <w:pPr>
        <w:pStyle w:val="17"/>
      </w:pPr>
      <w:r>
        <w:t xml:space="preserve">（一）民革沧州市委员会的主要职责  </w:t>
      </w:r>
    </w:p>
    <w:p>
      <w:pPr>
        <w:pStyle w:val="17"/>
      </w:pPr>
      <w:r>
        <w:t>民革沧州市委员会下设办公室。</w:t>
      </w:r>
    </w:p>
    <w:p>
      <w:pPr>
        <w:pStyle w:val="17"/>
      </w:pPr>
      <w:r>
        <w:t>办公室的职责任务：负责机关内外的联系和综合协调工作，保证机关业务和行政工作的正常运转；负责各种重要文件、工作报告、工作总结的起草工作；负责办理民革沧州市委员会决定、决议的落实及交办的日常工作。</w:t>
      </w:r>
    </w:p>
    <w:p>
      <w:pPr>
        <w:pStyle w:val="17"/>
      </w:pPr>
      <w:r>
        <w:t>（二）民盟沧州市委员会的主要职责</w:t>
      </w:r>
    </w:p>
    <w:p>
      <w:pPr>
        <w:pStyle w:val="17"/>
      </w:pPr>
      <w:r>
        <w:t>民盟沧州市委员会下设办公室。</w:t>
      </w:r>
    </w:p>
    <w:p>
      <w:pPr>
        <w:pStyle w:val="17"/>
      </w:pPr>
      <w:r>
        <w:t>办公室的职责任务：负责机关内外的联系和综合协调工作，保证机关业务和行政工作的正常运转；负责各种重要文件、工作报告、工作总结的起草工作；负责办理民盟沧州市委员会决定、决议的落实及交办的日常工作。</w:t>
      </w:r>
    </w:p>
    <w:p>
      <w:pPr>
        <w:pStyle w:val="17"/>
      </w:pPr>
      <w:r>
        <w:t>（三）农工党沧州市委员会的主要职责</w:t>
      </w:r>
    </w:p>
    <w:p>
      <w:pPr>
        <w:pStyle w:val="17"/>
      </w:pPr>
      <w:r>
        <w:t>农工党沧州市委员会下设办公室。</w:t>
      </w:r>
    </w:p>
    <w:p>
      <w:pPr>
        <w:pStyle w:val="17"/>
      </w:pPr>
      <w:r>
        <w:t>办公室的职责任务：负责机关内外的联系和综合协调工作，保证机关业务和行政工作的正常运转；负责各种重要文件、工作报告、工作总结的起草工作；负责办理农工民主党沧州市委员会决定、决议的落实及交办的日常工作。</w:t>
      </w:r>
    </w:p>
    <w:p>
      <w:pPr>
        <w:pStyle w:val="17"/>
      </w:pPr>
      <w:r>
        <w:t>（四）九三学社沧州市委员会的主要职责</w:t>
      </w:r>
    </w:p>
    <w:p>
      <w:pPr>
        <w:pStyle w:val="17"/>
      </w:pPr>
      <w:r>
        <w:t>九三学社沧州市委员会下设办公室。</w:t>
      </w:r>
    </w:p>
    <w:p>
      <w:pPr>
        <w:pStyle w:val="17"/>
      </w:pPr>
      <w:r>
        <w:t>办公室的职责任务：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中国农工民主党沧州市委员会本级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476.24万元，其中：一般公共预算收入476.24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农工民主党沧州市委员会本级年度单位预算中支出预算的总体情况。2024年支出预算476.24万元，其中基本支出368.24万元，包括人员经费312.15万元和日常公用经费56.09万元；项目支出108.00万元，主要为九三学社参政议政专项经费27万元、民革参政议政专项经费27万元、民盟参政议政专项经费27万元、农工党参政议政专项经费27万元。</w:t>
      </w:r>
    </w:p>
    <w:p>
      <w:pPr>
        <w:pStyle w:val="18"/>
      </w:pPr>
      <w:r>
        <w:t>3、比上年增减情况</w:t>
      </w:r>
    </w:p>
    <w:p>
      <w:pPr>
        <w:pStyle w:val="18"/>
      </w:pPr>
      <w:r>
        <w:t>2024年预算收支安排476.24万元，较2023年预算增加22.70万元，其中：基本支出增加34.70万元，主要为增加人员经费支出35.89万元，减少公用经费支出1.19万元；项目支出减少12.00万元，主要为减少九三学社参政议政专项经费3万元、减少民革参政议政专项经费3万元、减少民盟参政议政专项经费3万元、减少农工党参政议政专项经费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2024年，我单位机关运行经费共计安排56.09万元，主要用于日常维修、办公用房水电费、办公用房取暖费、办公用房物业管理费等日常运行支出。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10.05万元，其中因公出国（境）费0.00万元；公务用车购置及运维费9.68万元（其中：公务用车购置费为0.00万元，公务用车运维费9.68万元)；公务接待费0.37万元。与2023年相比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1、2024年度九三学社参政议政专项经费绩效目标表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13090024P000698100019</w:t>
            </w:r>
          </w:p>
        </w:tc>
        <w:tc>
          <w:tcPr>
            <w:tcW w:w="2835" w:type="dxa"/>
            <w:vAlign w:val="center"/>
          </w:tcPr>
          <w:p>
            <w:pPr>
              <w:pStyle w:val="10"/>
            </w:pPr>
            <w:r>
              <w:t>项目名称</w:t>
            </w:r>
          </w:p>
        </w:tc>
        <w:tc>
          <w:tcPr>
            <w:tcW w:w="6094" w:type="dxa"/>
            <w:gridSpan w:val="3"/>
            <w:vAlign w:val="center"/>
          </w:tcPr>
          <w:p>
            <w:pPr>
              <w:pStyle w:val="12"/>
            </w:pPr>
            <w:r>
              <w:t>2024年度九三学社参政议政专项经费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1、开展深入广泛具体的调查研究；2、在加强和改善民主履行参政议政智能新形式下，民主党派参政议政的任务更加重要和重大。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1.开展深入广泛具体的调查研究</w:t>
            </w:r>
          </w:p>
          <w:p>
            <w:pPr>
              <w:pStyle w:val="12"/>
            </w:pPr>
            <w:r>
              <w:t>2.在加强和改善民主履行参政议政智能新形式下，民主党派参政议政的任务更加重要和重大。</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5386" w:type="dxa"/>
            <w:vAlign w:val="center"/>
          </w:tcPr>
          <w:p>
            <w:pPr>
              <w:pStyle w:val="12"/>
            </w:pPr>
            <w:r>
              <w:t>组织主题宣传活动场次</w:t>
            </w:r>
          </w:p>
        </w:tc>
        <w:tc>
          <w:tcPr>
            <w:tcW w:w="2268" w:type="dxa"/>
            <w:vAlign w:val="center"/>
          </w:tcPr>
          <w:p>
            <w:pPr>
              <w:pStyle w:val="12"/>
            </w:pPr>
            <w:r>
              <w:t>≥10次</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机关基础设备正常运转，信息化保障提高</w:t>
            </w:r>
          </w:p>
        </w:tc>
        <w:tc>
          <w:tcPr>
            <w:tcW w:w="5386" w:type="dxa"/>
            <w:vAlign w:val="center"/>
          </w:tcPr>
          <w:p>
            <w:pPr>
              <w:pStyle w:val="12"/>
            </w:pPr>
            <w:r>
              <w:t>机关基础设备正常运转，信息化保障提高</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完成项目所需时间</w:t>
            </w:r>
          </w:p>
        </w:tc>
        <w:tc>
          <w:tcPr>
            <w:tcW w:w="5386" w:type="dxa"/>
            <w:vAlign w:val="center"/>
          </w:tcPr>
          <w:p>
            <w:pPr>
              <w:pStyle w:val="12"/>
            </w:pPr>
            <w:r>
              <w:t>完成项目所需时间</w:t>
            </w:r>
          </w:p>
        </w:tc>
        <w:tc>
          <w:tcPr>
            <w:tcW w:w="2268" w:type="dxa"/>
            <w:vAlign w:val="center"/>
          </w:tcPr>
          <w:p>
            <w:pPr>
              <w:pStyle w:val="12"/>
            </w:pPr>
            <w:r>
              <w:t>≤1年</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≤27万元</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加强和改善民主履行参政议政</w:t>
            </w:r>
          </w:p>
        </w:tc>
        <w:tc>
          <w:tcPr>
            <w:tcW w:w="5386" w:type="dxa"/>
            <w:vAlign w:val="center"/>
          </w:tcPr>
          <w:p>
            <w:pPr>
              <w:pStyle w:val="12"/>
            </w:pPr>
            <w:r>
              <w:t>加强和改善民主履行参政议政</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沧市财行【2017】65号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2、2024年度民革参政议政专项经费绩效目标表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13090024P00069910001Y</w:t>
            </w:r>
          </w:p>
        </w:tc>
        <w:tc>
          <w:tcPr>
            <w:tcW w:w="2835" w:type="dxa"/>
            <w:vAlign w:val="center"/>
          </w:tcPr>
          <w:p>
            <w:pPr>
              <w:pStyle w:val="10"/>
            </w:pPr>
            <w:r>
              <w:t>项目名称</w:t>
            </w:r>
          </w:p>
        </w:tc>
        <w:tc>
          <w:tcPr>
            <w:tcW w:w="6094" w:type="dxa"/>
            <w:gridSpan w:val="3"/>
            <w:vAlign w:val="center"/>
          </w:tcPr>
          <w:p>
            <w:pPr>
              <w:pStyle w:val="12"/>
            </w:pPr>
            <w:r>
              <w:t>2024年度民革参政议政专项经费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1、开展深入广泛具体的调查研究；2、在加强和改善民主履行参政议政智能新形式下，民主党派参政议政的任务更加重要和重大。</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1.开展深入广泛具体的调查研究</w:t>
            </w:r>
          </w:p>
          <w:p>
            <w:pPr>
              <w:pStyle w:val="12"/>
            </w:pPr>
            <w:r>
              <w:t>2.在加强和改善民主履行参政议政智能新形式下，民主党派参政议政的任务更加重要和重大。</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5386" w:type="dxa"/>
            <w:vAlign w:val="center"/>
          </w:tcPr>
          <w:p>
            <w:pPr>
              <w:pStyle w:val="12"/>
            </w:pPr>
            <w:r>
              <w:t>组织主题宣传活动场次</w:t>
            </w:r>
          </w:p>
        </w:tc>
        <w:tc>
          <w:tcPr>
            <w:tcW w:w="2268" w:type="dxa"/>
            <w:vAlign w:val="center"/>
          </w:tcPr>
          <w:p>
            <w:pPr>
              <w:pStyle w:val="12"/>
            </w:pPr>
            <w:r>
              <w:t>≥10次</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机关基础设备正常运转，信息化保障提高</w:t>
            </w:r>
          </w:p>
        </w:tc>
        <w:tc>
          <w:tcPr>
            <w:tcW w:w="5386" w:type="dxa"/>
            <w:vAlign w:val="center"/>
          </w:tcPr>
          <w:p>
            <w:pPr>
              <w:pStyle w:val="12"/>
            </w:pPr>
            <w:r>
              <w:t>机关基础设备正常运转，信息化保障提高</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完成项目所需时间</w:t>
            </w:r>
          </w:p>
        </w:tc>
        <w:tc>
          <w:tcPr>
            <w:tcW w:w="5386" w:type="dxa"/>
            <w:vAlign w:val="center"/>
          </w:tcPr>
          <w:p>
            <w:pPr>
              <w:pStyle w:val="12"/>
            </w:pPr>
            <w:r>
              <w:t>完成项目所需时间</w:t>
            </w:r>
          </w:p>
        </w:tc>
        <w:tc>
          <w:tcPr>
            <w:tcW w:w="2268" w:type="dxa"/>
            <w:vAlign w:val="center"/>
          </w:tcPr>
          <w:p>
            <w:pPr>
              <w:pStyle w:val="12"/>
            </w:pPr>
            <w:r>
              <w:t>≤1年</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≤27万元</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加强和改善民主履行参政议政</w:t>
            </w:r>
          </w:p>
        </w:tc>
        <w:tc>
          <w:tcPr>
            <w:tcW w:w="5386" w:type="dxa"/>
            <w:vAlign w:val="center"/>
          </w:tcPr>
          <w:p>
            <w:pPr>
              <w:pStyle w:val="12"/>
            </w:pPr>
            <w:r>
              <w:t>加强和改善民主履行参政议政</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沧市财行【2017】65号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3、2024年度民盟参政议政专项经费绩效目标表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13090024P00070010001J</w:t>
            </w:r>
          </w:p>
        </w:tc>
        <w:tc>
          <w:tcPr>
            <w:tcW w:w="2835" w:type="dxa"/>
            <w:vAlign w:val="center"/>
          </w:tcPr>
          <w:p>
            <w:pPr>
              <w:pStyle w:val="10"/>
            </w:pPr>
            <w:r>
              <w:t>项目名称</w:t>
            </w:r>
          </w:p>
        </w:tc>
        <w:tc>
          <w:tcPr>
            <w:tcW w:w="6094" w:type="dxa"/>
            <w:gridSpan w:val="3"/>
            <w:vAlign w:val="center"/>
          </w:tcPr>
          <w:p>
            <w:pPr>
              <w:pStyle w:val="12"/>
            </w:pPr>
            <w:r>
              <w:t>2024年度民盟参政议政专项经费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1、开展深入广泛具体的调查研究；2、在加强和改善民主履行参政议政智能新形式下，民主党派参政议政的任务更加重要和重大。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1.开展深入广泛具体的调查研究</w:t>
            </w:r>
          </w:p>
          <w:p>
            <w:pPr>
              <w:pStyle w:val="12"/>
            </w:pPr>
            <w:r>
              <w:t>2.在加强和改善民主履行参政议政智能新形式下，民主党派参政议政的任务更加重要和重大。</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5386" w:type="dxa"/>
            <w:vAlign w:val="center"/>
          </w:tcPr>
          <w:p>
            <w:pPr>
              <w:pStyle w:val="12"/>
            </w:pPr>
            <w:r>
              <w:t>组织主题宣传活动场次</w:t>
            </w:r>
          </w:p>
        </w:tc>
        <w:tc>
          <w:tcPr>
            <w:tcW w:w="2268" w:type="dxa"/>
            <w:vAlign w:val="center"/>
          </w:tcPr>
          <w:p>
            <w:pPr>
              <w:pStyle w:val="12"/>
            </w:pPr>
            <w:r>
              <w:t>≥10次</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机关基础设备正常运转，信息化保障提高</w:t>
            </w:r>
          </w:p>
        </w:tc>
        <w:tc>
          <w:tcPr>
            <w:tcW w:w="5386" w:type="dxa"/>
            <w:vAlign w:val="center"/>
          </w:tcPr>
          <w:p>
            <w:pPr>
              <w:pStyle w:val="12"/>
            </w:pPr>
            <w:r>
              <w:t>机关基础设备正常运转，信息化保障提高</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完成项目所需时间</w:t>
            </w:r>
          </w:p>
        </w:tc>
        <w:tc>
          <w:tcPr>
            <w:tcW w:w="5386" w:type="dxa"/>
            <w:vAlign w:val="center"/>
          </w:tcPr>
          <w:p>
            <w:pPr>
              <w:pStyle w:val="12"/>
            </w:pPr>
            <w:r>
              <w:t>完成项目所需时间</w:t>
            </w:r>
          </w:p>
        </w:tc>
        <w:tc>
          <w:tcPr>
            <w:tcW w:w="2268" w:type="dxa"/>
            <w:vAlign w:val="center"/>
          </w:tcPr>
          <w:p>
            <w:pPr>
              <w:pStyle w:val="12"/>
            </w:pPr>
            <w:r>
              <w:t>≤1年</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≤27万元</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加强和改善民主履行参政议政</w:t>
            </w:r>
          </w:p>
        </w:tc>
        <w:tc>
          <w:tcPr>
            <w:tcW w:w="5386" w:type="dxa"/>
            <w:vAlign w:val="center"/>
          </w:tcPr>
          <w:p>
            <w:pPr>
              <w:pStyle w:val="12"/>
            </w:pPr>
            <w:r>
              <w:t>加强和改善民主履行参政议政</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沧市财行【2017】65号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4、2024年度农工党参政议政专项经费绩效目标表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13090024P000701100018</w:t>
            </w:r>
          </w:p>
        </w:tc>
        <w:tc>
          <w:tcPr>
            <w:tcW w:w="2835" w:type="dxa"/>
            <w:vAlign w:val="center"/>
          </w:tcPr>
          <w:p>
            <w:pPr>
              <w:pStyle w:val="10"/>
            </w:pPr>
            <w:r>
              <w:t>项目名称</w:t>
            </w:r>
          </w:p>
        </w:tc>
        <w:tc>
          <w:tcPr>
            <w:tcW w:w="6094" w:type="dxa"/>
            <w:gridSpan w:val="3"/>
            <w:vAlign w:val="center"/>
          </w:tcPr>
          <w:p>
            <w:pPr>
              <w:pStyle w:val="12"/>
            </w:pPr>
            <w:r>
              <w:t>2024年度农工党参政议政专项经费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1、开展深入广泛具体的调查研究；2、在加强和改善民主履行参政议政智能新形式下，民主党派参政议政的任务更加重要和重大。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100%</w:t>
            </w:r>
            <w:bookmarkStart w:id="1" w:name="_GoBack"/>
            <w:bookmarkEnd w:id="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1.开展深入广泛具体的调查研究</w:t>
            </w:r>
          </w:p>
          <w:p>
            <w:pPr>
              <w:pStyle w:val="12"/>
            </w:pPr>
            <w:r>
              <w:t>2.在加强和改善民主履行参政议政智能新形式下，民主党派参政议政的任务更加重要和重大。</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5386" w:type="dxa"/>
            <w:vAlign w:val="center"/>
          </w:tcPr>
          <w:p>
            <w:pPr>
              <w:pStyle w:val="12"/>
            </w:pPr>
            <w:r>
              <w:t>组织主题宣传活动场次</w:t>
            </w:r>
          </w:p>
        </w:tc>
        <w:tc>
          <w:tcPr>
            <w:tcW w:w="2268" w:type="dxa"/>
            <w:vAlign w:val="center"/>
          </w:tcPr>
          <w:p>
            <w:pPr>
              <w:pStyle w:val="12"/>
            </w:pPr>
            <w:r>
              <w:t>≥10次</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机关基础设备正常运转，信息化保障提高</w:t>
            </w:r>
          </w:p>
        </w:tc>
        <w:tc>
          <w:tcPr>
            <w:tcW w:w="5386" w:type="dxa"/>
            <w:vAlign w:val="center"/>
          </w:tcPr>
          <w:p>
            <w:pPr>
              <w:pStyle w:val="12"/>
            </w:pPr>
            <w:r>
              <w:t>机关基础设备正常运转，信息化保障提高</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完成项目所需时间</w:t>
            </w:r>
          </w:p>
        </w:tc>
        <w:tc>
          <w:tcPr>
            <w:tcW w:w="5386" w:type="dxa"/>
            <w:vAlign w:val="center"/>
          </w:tcPr>
          <w:p>
            <w:pPr>
              <w:pStyle w:val="12"/>
            </w:pPr>
            <w:r>
              <w:t>完成项目所需时间</w:t>
            </w:r>
          </w:p>
        </w:tc>
        <w:tc>
          <w:tcPr>
            <w:tcW w:w="2268" w:type="dxa"/>
            <w:vAlign w:val="center"/>
          </w:tcPr>
          <w:p>
            <w:pPr>
              <w:pStyle w:val="12"/>
            </w:pPr>
            <w:r>
              <w:t>≤1年</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≤27万元</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加强和改善民主履行参政议政</w:t>
            </w:r>
          </w:p>
        </w:tc>
        <w:tc>
          <w:tcPr>
            <w:tcW w:w="5386" w:type="dxa"/>
            <w:vAlign w:val="center"/>
          </w:tcPr>
          <w:p>
            <w:pPr>
              <w:pStyle w:val="12"/>
            </w:pPr>
            <w:r>
              <w:t>加强和改善民主履行参政议政</w:t>
            </w:r>
          </w:p>
        </w:tc>
        <w:tc>
          <w:tcPr>
            <w:tcW w:w="2268" w:type="dxa"/>
            <w:vAlign w:val="center"/>
          </w:tcPr>
          <w:p>
            <w:pPr>
              <w:pStyle w:val="12"/>
            </w:pPr>
            <w:r>
              <w:t>≥95%</w:t>
            </w:r>
          </w:p>
        </w:tc>
        <w:tc>
          <w:tcPr>
            <w:tcW w:w="1276" w:type="dxa"/>
            <w:vAlign w:val="center"/>
          </w:tcPr>
          <w:p>
            <w:pPr>
              <w:pStyle w:val="12"/>
            </w:pPr>
            <w:r>
              <w:t>沧市财行【2017】65号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沧市财行【2017】65号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中国农工民主党沧州市委员会本级上年末固定资产金额为91.82万元（详见下表）。本年度拟购置固定资产总额为0.00万元，已按要求列入政府采购预算，详见政府采购预算表。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93</w:t>
            </w:r>
          </w:p>
        </w:tc>
        <w:tc>
          <w:tcPr>
            <w:tcW w:w="2835" w:type="dxa"/>
            <w:vAlign w:val="center"/>
          </w:tcPr>
          <w:p>
            <w:pPr>
              <w:pStyle w:val="11"/>
            </w:pPr>
            <w:r>
              <w:t>14.98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82A74"/>
    <w:rsid w:val="400C4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2024-02-22T09:35:06Z</dcterms:created>
  <dcterms:modified xsi:type="dcterms:W3CDTF">2024-02-22T01:35:06Z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2024-02-22T09:35:05Z</dcterms:created>
  <dcterms:modified xsi:type="dcterms:W3CDTF">2024-02-22T01:35:05Z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2024-02-22T09:34:59Z</dcterms:created>
  <dcterms:modified xsi:type="dcterms:W3CDTF">2024-02-22T01:34:59Z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2024-02-22T09:35:05Z</dcterms:created>
  <dcterms:modified xsi:type="dcterms:W3CDTF">2024-02-22T01:35:05Z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2024-02-22T09:35:05Z</dcterms:created>
  <dcterms:modified xsi:type="dcterms:W3CDTF">2024-02-22T01:35:05Z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2024-02-22T09:35:04Z</dcterms:created>
  <dcterms:modified xsi:type="dcterms:W3CDTF">2024-02-22T01:35:04Z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2024-02-22T09:35:03Z</dcterms:created>
  <dcterms:modified xsi:type="dcterms:W3CDTF">2024-02-22T01:35:03Z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5d60312-972b-4c65-89eb-5554af318501}">
  <ds:schemaRefs/>
</ds:datastoreItem>
</file>

<file path=customXml/itemProps11.xml><?xml version="1.0" encoding="utf-8"?>
<ds:datastoreItem xmlns:ds="http://schemas.openxmlformats.org/officeDocument/2006/customXml" ds:itemID="{9e18f19e-b557-4b52-9df9-5248bb8d7863}">
  <ds:schemaRefs/>
</ds:datastoreItem>
</file>

<file path=customXml/itemProps12.xml><?xml version="1.0" encoding="utf-8"?>
<ds:datastoreItem xmlns:ds="http://schemas.openxmlformats.org/officeDocument/2006/customXml" ds:itemID="{5ef2bdf1-9bea-43aa-ac6b-484cd0160a39}">
  <ds:schemaRefs/>
</ds:datastoreItem>
</file>

<file path=customXml/itemProps13.xml><?xml version="1.0" encoding="utf-8"?>
<ds:datastoreItem xmlns:ds="http://schemas.openxmlformats.org/officeDocument/2006/customXml" ds:itemID="{c7cf45ea-ee8e-4815-8823-f3c080998a77}">
  <ds:schemaRefs/>
</ds:datastoreItem>
</file>

<file path=customXml/itemProps14.xml><?xml version="1.0" encoding="utf-8"?>
<ds:datastoreItem xmlns:ds="http://schemas.openxmlformats.org/officeDocument/2006/customXml" ds:itemID="{f7f222ae-954b-4580-8c78-9e8f39e6ceb9}">
  <ds:schemaRefs/>
</ds:datastoreItem>
</file>

<file path=customXml/itemProps15.xml><?xml version="1.0" encoding="utf-8"?>
<ds:datastoreItem xmlns:ds="http://schemas.openxmlformats.org/officeDocument/2006/customXml" ds:itemID="{512075c6-c54b-4eae-b48a-33cd645a0702}">
  <ds:schemaRefs/>
</ds:datastoreItem>
</file>

<file path=customXml/itemProps2.xml><?xml version="1.0" encoding="utf-8"?>
<ds:datastoreItem xmlns:ds="http://schemas.openxmlformats.org/officeDocument/2006/customXml" ds:itemID="{f48aac3f-2dec-4ce0-a185-78bdb399cabc}">
  <ds:schemaRefs/>
</ds:datastoreItem>
</file>

<file path=customXml/itemProps3.xml><?xml version="1.0" encoding="utf-8"?>
<ds:datastoreItem xmlns:ds="http://schemas.openxmlformats.org/officeDocument/2006/customXml" ds:itemID="{5c033571-110f-4113-b787-430b143145f6}">
  <ds:schemaRefs/>
</ds:datastoreItem>
</file>

<file path=customXml/itemProps4.xml><?xml version="1.0" encoding="utf-8"?>
<ds:datastoreItem xmlns:ds="http://schemas.openxmlformats.org/officeDocument/2006/customXml" ds:itemID="{0e4b22fd-803b-42fb-9b2e-e504f5fe6765}">
  <ds:schemaRefs/>
</ds:datastoreItem>
</file>

<file path=customXml/itemProps5.xml><?xml version="1.0" encoding="utf-8"?>
<ds:datastoreItem xmlns:ds="http://schemas.openxmlformats.org/officeDocument/2006/customXml" ds:itemID="{ea9a0b44-2f36-4180-b5dd-9887a62a4b5d}">
  <ds:schemaRefs/>
</ds:datastoreItem>
</file>

<file path=customXml/itemProps6.xml><?xml version="1.0" encoding="utf-8"?>
<ds:datastoreItem xmlns:ds="http://schemas.openxmlformats.org/officeDocument/2006/customXml" ds:itemID="{7ba80ad6-ccc6-4678-bf73-c9d6aea46731}">
  <ds:schemaRefs/>
</ds:datastoreItem>
</file>

<file path=customXml/itemProps7.xml><?xml version="1.0" encoding="utf-8"?>
<ds:datastoreItem xmlns:ds="http://schemas.openxmlformats.org/officeDocument/2006/customXml" ds:itemID="{a7c5241e-e27c-4e38-98a2-4b539029154b}">
  <ds:schemaRefs/>
</ds:datastoreItem>
</file>

<file path=customXml/itemProps8.xml><?xml version="1.0" encoding="utf-8"?>
<ds:datastoreItem xmlns:ds="http://schemas.openxmlformats.org/officeDocument/2006/customXml" ds:itemID="{0905ed81-1a6c-4cb5-8650-9b2ad39d4ab7}">
  <ds:schemaRefs/>
</ds:datastoreItem>
</file>

<file path=customXml/itemProps9.xml><?xml version="1.0" encoding="utf-8"?>
<ds:datastoreItem xmlns:ds="http://schemas.openxmlformats.org/officeDocument/2006/customXml" ds:itemID="{c235ad89-3769-4411-9333-30c17004e7e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2024-02-22T09:35:00Z</dcterms:created>
  <dc:creator>Administrator</dc:creator>
  <cp:lastModifiedBy>Administrator</cp:lastModifiedBy>
  <dcterms:modified xsi:type="dcterms:W3CDTF">2024-02-22T01:39:23Z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